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D2531" w14:textId="436D3BFB" w:rsidR="00584ABE" w:rsidRPr="00E666C9" w:rsidRDefault="00E03DCD" w:rsidP="005923F4">
      <w:pPr>
        <w:pStyle w:val="3GPPHeader"/>
        <w:spacing w:after="60"/>
        <w:rPr>
          <w:rFonts w:ascii="Arial" w:hAnsi="Arial" w:cs="Arial"/>
        </w:rPr>
      </w:pPr>
      <w:bookmarkStart w:id="0" w:name="_Ref462817227"/>
      <w:r w:rsidRPr="00E666C9">
        <w:t>3GPP</w:t>
      </w:r>
      <w:r w:rsidR="00BB6996" w:rsidRPr="00E666C9">
        <w:t xml:space="preserve"> TSG-RAN WG1 #9</w:t>
      </w:r>
      <w:r w:rsidR="00782F19">
        <w:t>8</w:t>
      </w:r>
      <w:r w:rsidR="00B548DA" w:rsidRPr="00E666C9">
        <w:rPr>
          <w:rFonts w:ascii="Arial" w:hAnsi="Arial" w:cs="Arial"/>
        </w:rPr>
        <w:tab/>
      </w:r>
      <w:r w:rsidR="00783800" w:rsidRPr="00D21D54">
        <w:rPr>
          <w:rFonts w:ascii="Arial" w:hAnsi="Arial" w:cs="Arial"/>
        </w:rPr>
        <w:t>R1</w:t>
      </w:r>
      <w:r w:rsidR="008E1D88" w:rsidRPr="00D21D54">
        <w:rPr>
          <w:rFonts w:ascii="Arial" w:hAnsi="Arial" w:cs="Arial"/>
        </w:rPr>
        <w:t>-</w:t>
      </w:r>
      <w:r w:rsidR="00BB6996" w:rsidRPr="00D21D54">
        <w:rPr>
          <w:rFonts w:ascii="Arial" w:hAnsi="Arial" w:cs="Arial"/>
        </w:rPr>
        <w:t>19</w:t>
      </w:r>
      <w:r w:rsidR="008D45F2" w:rsidRPr="00D21D54">
        <w:rPr>
          <w:rFonts w:ascii="Arial" w:hAnsi="Arial" w:cs="Arial"/>
        </w:rPr>
        <w:t>0</w:t>
      </w:r>
      <w:r w:rsidR="00D33059">
        <w:rPr>
          <w:rFonts w:ascii="Arial" w:hAnsi="Arial" w:cs="Arial"/>
        </w:rPr>
        <w:t>84</w:t>
      </w:r>
      <w:r w:rsidR="009913E0">
        <w:rPr>
          <w:rFonts w:ascii="Arial" w:hAnsi="Arial" w:cs="Arial"/>
        </w:rPr>
        <w:t>26</w:t>
      </w:r>
      <w:r w:rsidR="008D45F2" w:rsidRPr="008D45F2" w:rsidDel="00070695">
        <w:rPr>
          <w:rFonts w:ascii="Arial" w:hAnsi="Arial" w:cs="Arial"/>
        </w:rPr>
        <w:t xml:space="preserve"> </w:t>
      </w:r>
      <w:r w:rsidR="005A147F" w:rsidRPr="00E666C9" w:rsidDel="005A147F">
        <w:rPr>
          <w:rFonts w:ascii="Arial" w:hAnsi="Arial" w:cs="Arial"/>
        </w:rPr>
        <w:t xml:space="preserve"> </w:t>
      </w:r>
    </w:p>
    <w:p w14:paraId="7A9879CD" w14:textId="066AD7F7" w:rsidR="00584ABE" w:rsidRPr="007A3FE1" w:rsidRDefault="003C3798" w:rsidP="005923F4">
      <w:pPr>
        <w:pStyle w:val="3GPPHeader"/>
        <w:spacing w:after="60"/>
        <w:rPr>
          <w:rFonts w:ascii="Arial" w:hAnsi="Arial" w:cs="Arial"/>
          <w:b w:val="0"/>
          <w:noProof/>
        </w:rPr>
      </w:pPr>
      <w:r>
        <w:t>Prague</w:t>
      </w:r>
      <w:r w:rsidR="00CB54FB">
        <w:t xml:space="preserve">, </w:t>
      </w:r>
      <w:r>
        <w:t>CZ</w:t>
      </w:r>
      <w:r w:rsidR="00F66DDF">
        <w:t xml:space="preserve">, </w:t>
      </w:r>
      <w:r>
        <w:t>August</w:t>
      </w:r>
      <w:r w:rsidR="007A4031">
        <w:t xml:space="preserve"> </w:t>
      </w:r>
      <w:r>
        <w:t>26</w:t>
      </w:r>
      <w:r w:rsidR="007A4031" w:rsidRPr="00E666C9">
        <w:rPr>
          <w:vertAlign w:val="superscript"/>
        </w:rPr>
        <w:t>th</w:t>
      </w:r>
      <w:r w:rsidR="007A4031">
        <w:t xml:space="preserve"> – </w:t>
      </w:r>
      <w:r>
        <w:t>30</w:t>
      </w:r>
      <w:r w:rsidR="007A4031" w:rsidRPr="00E666C9">
        <w:rPr>
          <w:vertAlign w:val="superscript"/>
        </w:rPr>
        <w:t>th</w:t>
      </w:r>
      <w:r w:rsidR="00E03DCD">
        <w:t>, 2019</w:t>
      </w:r>
      <w:r w:rsidR="00F40C33">
        <w:rPr>
          <w:rFonts w:ascii="Arial" w:hAnsi="Arial" w:cs="Arial"/>
        </w:rPr>
        <w:tab/>
      </w:r>
    </w:p>
    <w:p w14:paraId="4685A5BC" w14:textId="77777777" w:rsidR="00584ABE" w:rsidRPr="007A3FE1" w:rsidRDefault="00584ABE" w:rsidP="005923F4">
      <w:pPr>
        <w:pStyle w:val="3GPPHeader"/>
        <w:rPr>
          <w:rFonts w:ascii="Arial" w:hAnsi="Arial" w:cs="Arial"/>
        </w:rPr>
      </w:pPr>
    </w:p>
    <w:p w14:paraId="1033E54E" w14:textId="6B535E80" w:rsidR="00584ABE" w:rsidRPr="007A3FE1" w:rsidRDefault="00783800" w:rsidP="005923F4">
      <w:pPr>
        <w:pStyle w:val="3GPPHeader"/>
        <w:rPr>
          <w:rFonts w:ascii="Arial" w:hAnsi="Arial" w:cs="Arial"/>
          <w:sz w:val="22"/>
        </w:rPr>
      </w:pPr>
      <w:r>
        <w:rPr>
          <w:rFonts w:ascii="Arial" w:hAnsi="Arial" w:cs="Arial"/>
          <w:sz w:val="22"/>
        </w:rPr>
        <w:t>Agenda Item:</w:t>
      </w:r>
      <w:r>
        <w:rPr>
          <w:rFonts w:ascii="Arial" w:hAnsi="Arial" w:cs="Arial"/>
          <w:sz w:val="22"/>
        </w:rPr>
        <w:tab/>
        <w:t>7</w:t>
      </w:r>
      <w:r w:rsidR="00584ABE" w:rsidRPr="007A3FE1">
        <w:rPr>
          <w:rFonts w:ascii="Arial" w:hAnsi="Arial" w:cs="Arial"/>
          <w:sz w:val="22"/>
        </w:rPr>
        <w:t>.</w:t>
      </w:r>
      <w:r w:rsidR="00F66DDF">
        <w:rPr>
          <w:rFonts w:ascii="Arial" w:hAnsi="Arial" w:cs="Arial"/>
          <w:sz w:val="22"/>
        </w:rPr>
        <w:t>2.2.2</w:t>
      </w:r>
      <w:r w:rsidR="00E03DCD">
        <w:rPr>
          <w:rFonts w:ascii="Arial" w:hAnsi="Arial" w:cs="Arial"/>
          <w:sz w:val="22"/>
        </w:rPr>
        <w:t>.5</w:t>
      </w:r>
    </w:p>
    <w:p w14:paraId="31F0AA2B" w14:textId="12285102" w:rsidR="00584ABE" w:rsidRPr="007A3FE1" w:rsidRDefault="00584ABE" w:rsidP="005923F4">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44027BCD"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BA52AA">
        <w:rPr>
          <w:rFonts w:ascii="Arial" w:hAnsi="Arial" w:cs="Arial"/>
          <w:sz w:val="22"/>
        </w:rPr>
        <w:t>Wideband operation in NR unlicensed</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1"/>
        <w:rPr>
          <w:lang w:val="en-US"/>
        </w:rPr>
      </w:pPr>
      <w:r w:rsidRPr="002202E1">
        <w:rPr>
          <w:lang w:val="en-US"/>
        </w:rPr>
        <w:t>Introduction</w:t>
      </w:r>
      <w:bookmarkEnd w:id="0"/>
    </w:p>
    <w:p w14:paraId="2EEB116A" w14:textId="731FE9A2" w:rsidR="00E328C4" w:rsidRDefault="009B76F3" w:rsidP="001F718F">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In this paper, we discuss </w:t>
      </w:r>
      <w:r w:rsidR="003C3798">
        <w:rPr>
          <w:rFonts w:ascii="Times New Roman" w:hAnsi="Times New Roman" w:cs="Times New Roman"/>
          <w:b w:val="0"/>
          <w:bCs w:val="0"/>
          <w:sz w:val="20"/>
          <w:szCs w:val="20"/>
          <w:lang w:eastAsia="en-US"/>
        </w:rPr>
        <w:t xml:space="preserve">the remaining issues for </w:t>
      </w:r>
      <w:r>
        <w:rPr>
          <w:rFonts w:ascii="Times New Roman" w:hAnsi="Times New Roman" w:cs="Times New Roman"/>
          <w:b w:val="0"/>
          <w:bCs w:val="0"/>
          <w:sz w:val="20"/>
          <w:szCs w:val="20"/>
          <w:lang w:eastAsia="en-US"/>
        </w:rPr>
        <w:t>wideband operation</w:t>
      </w:r>
      <w:r w:rsidR="00D511FF">
        <w:rPr>
          <w:rFonts w:ascii="Times New Roman" w:hAnsi="Times New Roman" w:cs="Times New Roman"/>
          <w:b w:val="0"/>
          <w:bCs w:val="0"/>
          <w:sz w:val="20"/>
          <w:szCs w:val="20"/>
          <w:lang w:eastAsia="en-US"/>
        </w:rPr>
        <w:t xml:space="preserve">, including </w:t>
      </w:r>
      <w:r w:rsidR="003C3798">
        <w:rPr>
          <w:rFonts w:ascii="Times New Roman" w:hAnsi="Times New Roman" w:cs="Times New Roman"/>
          <w:b w:val="0"/>
          <w:bCs w:val="0"/>
          <w:sz w:val="20"/>
          <w:szCs w:val="20"/>
          <w:lang w:eastAsia="en-US"/>
        </w:rPr>
        <w:t>channel structure</w:t>
      </w:r>
      <w:r w:rsidR="00D511FF">
        <w:rPr>
          <w:rFonts w:ascii="Times New Roman" w:hAnsi="Times New Roman" w:cs="Times New Roman"/>
          <w:b w:val="0"/>
          <w:bCs w:val="0"/>
          <w:sz w:val="20"/>
          <w:szCs w:val="20"/>
          <w:lang w:eastAsia="en-US"/>
        </w:rPr>
        <w:t xml:space="preserve"> indication in frequency domain, </w:t>
      </w:r>
      <w:r w:rsidR="005A6B1C">
        <w:rPr>
          <w:rFonts w:ascii="Times New Roman" w:hAnsi="Times New Roman" w:cs="Times New Roman"/>
          <w:b w:val="0"/>
          <w:bCs w:val="0"/>
          <w:sz w:val="20"/>
          <w:szCs w:val="20"/>
          <w:lang w:eastAsia="en-US"/>
        </w:rPr>
        <w:t xml:space="preserve">relationship between PDCCH and LBT bandwidth, </w:t>
      </w:r>
      <w:r w:rsidR="00D511FF">
        <w:rPr>
          <w:rFonts w:ascii="Times New Roman" w:hAnsi="Times New Roman" w:cs="Times New Roman"/>
          <w:b w:val="0"/>
          <w:bCs w:val="0"/>
          <w:sz w:val="20"/>
          <w:szCs w:val="20"/>
          <w:lang w:eastAsia="en-US"/>
        </w:rPr>
        <w:t>and PDSCH transmission in case that partial BWP has passed LBT.</w:t>
      </w:r>
    </w:p>
    <w:p w14:paraId="413FC6EA" w14:textId="21E9C140" w:rsidR="009B76F3" w:rsidRDefault="009B76F3" w:rsidP="001F718F">
      <w:pPr>
        <w:pStyle w:val="Proposal"/>
        <w:numPr>
          <w:ilvl w:val="0"/>
          <w:numId w:val="0"/>
        </w:numPr>
        <w:rPr>
          <w:rFonts w:ascii="Times New Roman" w:hAnsi="Times New Roman" w:cs="Times New Roman"/>
          <w:b w:val="0"/>
          <w:bCs w:val="0"/>
          <w:sz w:val="20"/>
          <w:szCs w:val="20"/>
          <w:lang w:eastAsia="en-US"/>
        </w:rPr>
      </w:pPr>
    </w:p>
    <w:p w14:paraId="3A94FE98" w14:textId="070633BA" w:rsidR="00855482" w:rsidRDefault="00B83B64" w:rsidP="00855482">
      <w:pPr>
        <w:pStyle w:val="1"/>
        <w:rPr>
          <w:lang w:val="en-US"/>
        </w:rPr>
      </w:pPr>
      <w:r>
        <w:rPr>
          <w:lang w:val="en-US"/>
        </w:rPr>
        <w:t xml:space="preserve">Channel </w:t>
      </w:r>
      <w:r w:rsidR="00855482">
        <w:rPr>
          <w:lang w:val="en-US"/>
        </w:rPr>
        <w:t>structure indication in frequency domain</w:t>
      </w:r>
    </w:p>
    <w:p w14:paraId="2F9236A4" w14:textId="263440F4" w:rsidR="00DB2B15" w:rsidRDefault="00B83B64" w:rsidP="000F3343">
      <w:pPr>
        <w:rPr>
          <w:rFonts w:ascii="Times New Roman" w:eastAsia="ＭＳ 明朝" w:hAnsi="Times New Roman" w:cs="Times New Roman"/>
          <w:sz w:val="20"/>
          <w:szCs w:val="20"/>
        </w:rPr>
      </w:pPr>
      <w:r w:rsidRPr="007E082B">
        <w:rPr>
          <w:rFonts w:ascii="Times New Roman" w:hAnsi="Times New Roman" w:cs="Times New Roman"/>
          <w:sz w:val="20"/>
          <w:szCs w:val="20"/>
        </w:rPr>
        <w:t>In previous meeting</w:t>
      </w:r>
      <w:r w:rsidR="00DB2B15">
        <w:rPr>
          <w:rFonts w:ascii="Times New Roman" w:hAnsi="Times New Roman" w:cs="Times New Roman"/>
          <w:sz w:val="20"/>
          <w:szCs w:val="20"/>
        </w:rPr>
        <w:t>, some progress has been made regarding the mechanism to inform UE the availability of LBT bandwidths and/or carriers</w:t>
      </w:r>
      <w:r w:rsidR="00DB2B15" w:rsidRPr="00DB2B15">
        <w:rPr>
          <w:rFonts w:ascii="Times New Roman" w:eastAsia="ＭＳ 明朝" w:hAnsi="Times New Roman" w:cs="Times New Roman"/>
          <w:sz w:val="20"/>
          <w:szCs w:val="20"/>
        </w:rPr>
        <w:t>.</w:t>
      </w:r>
      <w:r w:rsidR="00DB2B15">
        <w:rPr>
          <w:rFonts w:ascii="Times New Roman" w:eastAsia="ＭＳ 明朝" w:hAnsi="Times New Roman" w:cs="Times New Roman"/>
          <w:sz w:val="20"/>
          <w:szCs w:val="20"/>
        </w:rPr>
        <w:t xml:space="preserve"> The agreement is the following:</w:t>
      </w:r>
    </w:p>
    <w:tbl>
      <w:tblPr>
        <w:tblStyle w:val="af6"/>
        <w:tblW w:w="0" w:type="auto"/>
        <w:tblLook w:val="04A0" w:firstRow="1" w:lastRow="0" w:firstColumn="1" w:lastColumn="0" w:noHBand="0" w:noVBand="1"/>
      </w:tblPr>
      <w:tblGrid>
        <w:gridCol w:w="9629"/>
      </w:tblGrid>
      <w:tr w:rsidR="00DB2B15" w14:paraId="2E54F654" w14:textId="77777777" w:rsidTr="00DB2B15">
        <w:tc>
          <w:tcPr>
            <w:tcW w:w="9629" w:type="dxa"/>
          </w:tcPr>
          <w:p w14:paraId="03E85309" w14:textId="77777777" w:rsidR="00DB2B15" w:rsidRPr="00DB2B15" w:rsidRDefault="00DB2B15" w:rsidP="00DB2B15">
            <w:pPr>
              <w:rPr>
                <w:rFonts w:ascii="Times" w:eastAsia="Batang" w:hAnsi="Times" w:cs="Times New Roman"/>
                <w:sz w:val="20"/>
                <w:szCs w:val="24"/>
              </w:rPr>
            </w:pPr>
            <w:r w:rsidRPr="00DB2B15">
              <w:rPr>
                <w:rFonts w:ascii="Times" w:eastAsia="Batang" w:hAnsi="Times" w:cs="Times New Roman"/>
                <w:sz w:val="20"/>
                <w:szCs w:val="24"/>
                <w:highlight w:val="green"/>
              </w:rPr>
              <w:t>Agreement:</w:t>
            </w:r>
          </w:p>
          <w:p w14:paraId="02C63852" w14:textId="77777777" w:rsidR="00DB2B15" w:rsidRPr="00DB2B15" w:rsidRDefault="00DB2B15" w:rsidP="00DB2B15">
            <w:pPr>
              <w:spacing w:after="160" w:line="252" w:lineRule="auto"/>
              <w:contextualSpacing/>
              <w:rPr>
                <w:rFonts w:ascii="Calibri" w:eastAsia="Batang" w:hAnsi="Calibri" w:cs="Times New Roman"/>
                <w:sz w:val="24"/>
                <w:szCs w:val="24"/>
                <w:lang w:val="en-US" w:eastAsia="x-none"/>
              </w:rPr>
            </w:pPr>
            <w:r w:rsidRPr="00DB2B15">
              <w:rPr>
                <w:rFonts w:ascii="Times" w:eastAsia="Batang" w:hAnsi="Times" w:cs="Times New Roman"/>
                <w:sz w:val="20"/>
                <w:szCs w:val="24"/>
                <w:lang w:eastAsia="ko-KR"/>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14:paraId="096B502C" w14:textId="77777777" w:rsidR="00DB2B15" w:rsidRPr="00DB2B15" w:rsidRDefault="00DB2B15" w:rsidP="00DB2B15">
            <w:pPr>
              <w:numPr>
                <w:ilvl w:val="0"/>
                <w:numId w:val="20"/>
              </w:numPr>
              <w:spacing w:after="160" w:line="252" w:lineRule="auto"/>
              <w:ind w:left="360"/>
              <w:contextualSpacing/>
              <w:rPr>
                <w:rFonts w:ascii="Calibri" w:eastAsia="Batang" w:hAnsi="Calibri" w:cs="Times New Roman"/>
                <w:sz w:val="20"/>
                <w:szCs w:val="24"/>
              </w:rPr>
            </w:pPr>
            <w:r w:rsidRPr="00DB2B15">
              <w:rPr>
                <w:rFonts w:ascii="Times" w:eastAsia="Batang" w:hAnsi="Times" w:cs="Times New Roman"/>
                <w:sz w:val="20"/>
                <w:szCs w:val="24"/>
                <w:lang w:eastAsia="ko-KR"/>
              </w:rPr>
              <w:t>FFS: Signalling details of the indication, including e.g., the time domain validity of the indication</w:t>
            </w:r>
          </w:p>
          <w:p w14:paraId="74EF6C2B" w14:textId="77777777" w:rsidR="00DB2B15" w:rsidRPr="00DB2B15" w:rsidRDefault="00DB2B15" w:rsidP="00DB2B15">
            <w:pPr>
              <w:numPr>
                <w:ilvl w:val="0"/>
                <w:numId w:val="20"/>
              </w:numPr>
              <w:spacing w:after="160" w:line="252" w:lineRule="auto"/>
              <w:ind w:left="360"/>
              <w:contextualSpacing/>
              <w:rPr>
                <w:rFonts w:ascii="Times" w:eastAsia="Batang" w:hAnsi="Times" w:cs="Times New Roman"/>
                <w:sz w:val="20"/>
                <w:szCs w:val="24"/>
                <w:lang w:eastAsia="ko-KR"/>
              </w:rPr>
            </w:pPr>
            <w:r w:rsidRPr="00DB2B15">
              <w:rPr>
                <w:rFonts w:ascii="Times" w:eastAsia="Batang" w:hAnsi="Times" w:cs="Times New Roman"/>
                <w:sz w:val="20"/>
                <w:szCs w:val="24"/>
                <w:lang w:eastAsia="ko-KR"/>
              </w:rPr>
              <w:t>FFS: Whether and how to support the mechanism at the beginning of DL transmission burst</w:t>
            </w:r>
          </w:p>
          <w:p w14:paraId="7A46F52B" w14:textId="77777777" w:rsidR="00DB2B15" w:rsidRPr="007E082B" w:rsidRDefault="00DB2B15" w:rsidP="007E082B">
            <w:pPr>
              <w:numPr>
                <w:ilvl w:val="0"/>
                <w:numId w:val="20"/>
              </w:numPr>
              <w:spacing w:after="160" w:line="252" w:lineRule="auto"/>
              <w:ind w:left="360"/>
              <w:contextualSpacing/>
              <w:rPr>
                <w:rFonts w:ascii="Times New Roman" w:eastAsia="ＭＳ 明朝" w:hAnsi="Times New Roman" w:cs="Times New Roman"/>
                <w:sz w:val="20"/>
                <w:szCs w:val="20"/>
              </w:rPr>
            </w:pPr>
            <w:r w:rsidRPr="00DB2B15">
              <w:rPr>
                <w:rFonts w:ascii="Times" w:eastAsia="Batang" w:hAnsi="Times" w:cs="Times New Roman"/>
                <w:sz w:val="20"/>
                <w:szCs w:val="24"/>
                <w:lang w:eastAsia="ko-KR"/>
              </w:rPr>
              <w:t>FFS: Whether and how to handle the case when GC-PDCCH is not configured or not received by the UE</w:t>
            </w:r>
          </w:p>
          <w:p w14:paraId="6F8076A8" w14:textId="2BABD63F" w:rsidR="00367C6C" w:rsidRPr="007E082B" w:rsidRDefault="00367C6C" w:rsidP="007E082B">
            <w:pPr>
              <w:spacing w:after="160" w:line="252" w:lineRule="auto"/>
              <w:ind w:left="360"/>
              <w:contextualSpacing/>
              <w:rPr>
                <w:rFonts w:ascii="Times New Roman" w:eastAsia="ＭＳ 明朝" w:hAnsi="Times New Roman" w:cs="Times New Roman"/>
                <w:sz w:val="20"/>
                <w:szCs w:val="20"/>
              </w:rPr>
            </w:pPr>
          </w:p>
        </w:tc>
      </w:tr>
    </w:tbl>
    <w:p w14:paraId="1DBFE9B8" w14:textId="62CD76BD" w:rsidR="00367C6C" w:rsidRDefault="00367C6C" w:rsidP="000F3343">
      <w:pPr>
        <w:rPr>
          <w:rFonts w:ascii="Times New Roman" w:hAnsi="Times New Roman" w:cs="Times New Roman"/>
          <w:sz w:val="20"/>
          <w:szCs w:val="20"/>
        </w:rPr>
      </w:pPr>
    </w:p>
    <w:p w14:paraId="7F512A1E" w14:textId="2D35662E" w:rsidR="00E2769E" w:rsidRDefault="00E2769E" w:rsidP="000F3343">
      <w:pPr>
        <w:rPr>
          <w:rFonts w:ascii="Times New Roman" w:hAnsi="Times New Roman" w:cs="Times New Roman"/>
          <w:sz w:val="20"/>
          <w:szCs w:val="20"/>
        </w:rPr>
      </w:pPr>
      <w:r w:rsidRPr="008622FC">
        <w:rPr>
          <w:rFonts w:ascii="Times New Roman" w:hAnsi="Times New Roman" w:cs="Times New Roman"/>
          <w:b/>
          <w:sz w:val="20"/>
          <w:szCs w:val="20"/>
          <w:u w:val="single"/>
        </w:rPr>
        <w:t>Time validity of the indication</w:t>
      </w:r>
    </w:p>
    <w:p w14:paraId="5FE92F82" w14:textId="255607A9" w:rsidR="003C7D8D" w:rsidRDefault="008C721A" w:rsidP="000F3343">
      <w:pPr>
        <w:rPr>
          <w:rFonts w:ascii="Times New Roman" w:hAnsi="Times New Roman" w:cs="Times New Roman"/>
          <w:sz w:val="20"/>
          <w:szCs w:val="20"/>
        </w:rPr>
      </w:pPr>
      <w:r>
        <w:rPr>
          <w:rFonts w:ascii="Times New Roman" w:hAnsi="Times New Roman" w:cs="Times New Roman"/>
          <w:sz w:val="20"/>
          <w:szCs w:val="20"/>
        </w:rPr>
        <w:t>The indication of the channel structure in frequency domain is associated with a valid time duration, as pointed out by the first FFS.</w:t>
      </w:r>
      <w:r w:rsidR="00E2769E">
        <w:rPr>
          <w:rFonts w:ascii="Times New Roman" w:hAnsi="Times New Roman" w:cs="Times New Roman"/>
          <w:sz w:val="20"/>
          <w:szCs w:val="20"/>
        </w:rPr>
        <w:t xml:space="preserve"> </w:t>
      </w:r>
      <w:r>
        <w:rPr>
          <w:rFonts w:ascii="Times New Roman" w:hAnsi="Times New Roman" w:cs="Times New Roman"/>
          <w:sz w:val="20"/>
          <w:szCs w:val="20"/>
        </w:rPr>
        <w:t xml:space="preserve">One possibility is to set the valid time the same as COT duration. However, </w:t>
      </w:r>
      <w:r w:rsidR="00F73EDE">
        <w:rPr>
          <w:rFonts w:ascii="Times New Roman" w:hAnsi="Times New Roman" w:cs="Times New Roman"/>
          <w:sz w:val="20"/>
          <w:szCs w:val="20"/>
        </w:rPr>
        <w:t xml:space="preserve">in our view, </w:t>
      </w:r>
      <w:r>
        <w:rPr>
          <w:rFonts w:ascii="Times New Roman" w:hAnsi="Times New Roman" w:cs="Times New Roman"/>
          <w:sz w:val="20"/>
          <w:szCs w:val="20"/>
        </w:rPr>
        <w:t xml:space="preserve">a better way is to set valid time only for one or a few slots, in other words, </w:t>
      </w:r>
      <w:r w:rsidR="00F73EDE">
        <w:rPr>
          <w:rFonts w:ascii="Times New Roman" w:hAnsi="Times New Roman" w:cs="Times New Roman"/>
          <w:sz w:val="20"/>
          <w:szCs w:val="20"/>
        </w:rPr>
        <w:t xml:space="preserve">dynamic updating such indication during the COT should be supported. </w:t>
      </w:r>
    </w:p>
    <w:p w14:paraId="6DDB7EB1" w14:textId="5025DAF5" w:rsidR="00B60727" w:rsidRDefault="00F73EDE" w:rsidP="000F3343">
      <w:pPr>
        <w:rPr>
          <w:rFonts w:ascii="Times New Roman" w:hAnsi="Times New Roman" w:cs="Times New Roman"/>
          <w:sz w:val="20"/>
          <w:szCs w:val="20"/>
        </w:rPr>
      </w:pPr>
      <w:r>
        <w:rPr>
          <w:rFonts w:ascii="Times New Roman" w:hAnsi="Times New Roman" w:cs="Times New Roman"/>
          <w:sz w:val="20"/>
          <w:szCs w:val="20"/>
        </w:rPr>
        <w:t>In the previous meeting, there was an argument saying that once gNB has acquired the COT, the frequency domain occupied bandwidth should not change until a separate COT is initiated. Based</w:t>
      </w:r>
      <w:r w:rsidR="00780466">
        <w:rPr>
          <w:rFonts w:ascii="Times New Roman" w:hAnsi="Times New Roman" w:cs="Times New Roman"/>
          <w:sz w:val="20"/>
          <w:szCs w:val="20"/>
        </w:rPr>
        <w:t xml:space="preserve"> on such</w:t>
      </w:r>
      <w:r w:rsidR="00F469E1">
        <w:rPr>
          <w:rFonts w:ascii="Times New Roman" w:hAnsi="Times New Roman" w:cs="Times New Roman"/>
          <w:sz w:val="20"/>
          <w:szCs w:val="20"/>
        </w:rPr>
        <w:t xml:space="preserve"> consideration, it was argued </w:t>
      </w:r>
      <w:r>
        <w:rPr>
          <w:rFonts w:ascii="Times New Roman" w:hAnsi="Times New Roman" w:cs="Times New Roman"/>
          <w:sz w:val="20"/>
          <w:szCs w:val="20"/>
        </w:rPr>
        <w:t>to have frequency domain occupancy indication valid for the whole duration of the COT</w:t>
      </w:r>
      <w:r w:rsidR="00F469E1">
        <w:rPr>
          <w:rFonts w:ascii="Times New Roman" w:hAnsi="Times New Roman" w:cs="Times New Roman"/>
          <w:sz w:val="20"/>
          <w:szCs w:val="20"/>
        </w:rPr>
        <w:t xml:space="preserve"> is sufficient</w:t>
      </w:r>
      <w:r>
        <w:rPr>
          <w:rFonts w:ascii="Times New Roman" w:hAnsi="Times New Roman" w:cs="Times New Roman"/>
          <w:sz w:val="20"/>
          <w:szCs w:val="20"/>
        </w:rPr>
        <w:t>.</w:t>
      </w:r>
      <w:r w:rsidR="003D53B4">
        <w:rPr>
          <w:rFonts w:ascii="Times New Roman" w:hAnsi="Times New Roman" w:cs="Times New Roman"/>
          <w:sz w:val="20"/>
          <w:szCs w:val="20"/>
        </w:rPr>
        <w:t xml:space="preserve"> </w:t>
      </w:r>
      <w:r w:rsidR="006B09FB">
        <w:rPr>
          <w:rFonts w:ascii="Times New Roman" w:hAnsi="Times New Roman" w:cs="Times New Roman"/>
          <w:sz w:val="20"/>
          <w:szCs w:val="20"/>
        </w:rPr>
        <w:t>We have a different view than the above argument. F</w:t>
      </w:r>
      <w:r w:rsidR="003D53B4">
        <w:rPr>
          <w:rFonts w:ascii="Times New Roman" w:hAnsi="Times New Roman" w:cs="Times New Roman"/>
          <w:sz w:val="20"/>
          <w:szCs w:val="20"/>
        </w:rPr>
        <w:t>irst of all, it is still open whether gNB is allowed to increase the occupied carriers or LBT bandwidths within the same COT. Even if it turns out to be not supported, the dynamic update of the frequency domain occupancy can still be used to shrink the available bandwidths for a certain group of UEs</w:t>
      </w:r>
      <w:r w:rsidR="00AC1910">
        <w:rPr>
          <w:rFonts w:ascii="Times New Roman" w:hAnsi="Times New Roman" w:cs="Times New Roman"/>
          <w:sz w:val="20"/>
          <w:szCs w:val="20"/>
        </w:rPr>
        <w:t xml:space="preserve"> dynamically within the COT, because how many LBT bandwidths/carriers have been acquired by the gNB is actually transparent to the UE. This can provide further power saving benefit for the UE.</w:t>
      </w:r>
      <w:r w:rsidR="00743018">
        <w:rPr>
          <w:rFonts w:ascii="Times New Roman" w:hAnsi="Times New Roman" w:cs="Times New Roman"/>
          <w:sz w:val="20"/>
          <w:szCs w:val="20"/>
        </w:rPr>
        <w:t xml:space="preserve">  </w:t>
      </w:r>
    </w:p>
    <w:p w14:paraId="1301E2E3" w14:textId="4090B46A" w:rsidR="00654EC2" w:rsidRPr="003F197C" w:rsidRDefault="00092DD2" w:rsidP="00654EC2">
      <w:pPr>
        <w:rPr>
          <w:rFonts w:ascii="Times New Roman" w:hAnsi="Times New Roman" w:cs="Times New Roman"/>
          <w:b/>
          <w:sz w:val="20"/>
          <w:szCs w:val="20"/>
        </w:rPr>
      </w:pPr>
      <w:r w:rsidRPr="003F197C">
        <w:rPr>
          <w:rFonts w:ascii="Times New Roman" w:hAnsi="Times New Roman" w:cs="Times New Roman"/>
          <w:b/>
          <w:sz w:val="20"/>
          <w:szCs w:val="20"/>
        </w:rPr>
        <w:t>Proposal 1</w:t>
      </w:r>
      <w:r w:rsidR="000E12B6" w:rsidRPr="003F197C">
        <w:rPr>
          <w:rFonts w:ascii="Times New Roman" w:hAnsi="Times New Roman" w:cs="Times New Roman"/>
          <w:b/>
          <w:sz w:val="20"/>
          <w:szCs w:val="20"/>
        </w:rPr>
        <w:t>:</w:t>
      </w:r>
      <w:r w:rsidRPr="003F197C">
        <w:rPr>
          <w:rFonts w:ascii="Times New Roman" w:hAnsi="Times New Roman" w:cs="Times New Roman"/>
          <w:b/>
          <w:sz w:val="20"/>
          <w:szCs w:val="20"/>
        </w:rPr>
        <w:t xml:space="preserve"> </w:t>
      </w:r>
      <w:r w:rsidR="000E12B6" w:rsidRPr="003F197C">
        <w:rPr>
          <w:rFonts w:ascii="Times New Roman" w:hAnsi="Times New Roman" w:cs="Times New Roman"/>
          <w:b/>
          <w:sz w:val="20"/>
          <w:szCs w:val="20"/>
        </w:rPr>
        <w:t>Frequency domain occupancy indication can be updated within a channel occupancy time.</w:t>
      </w:r>
    </w:p>
    <w:p w14:paraId="77246335" w14:textId="77777777" w:rsidR="00823016" w:rsidRDefault="00823016" w:rsidP="00654EC2">
      <w:pPr>
        <w:rPr>
          <w:rFonts w:ascii="Times New Roman" w:hAnsi="Times New Roman" w:cs="Times New Roman"/>
          <w:b/>
          <w:sz w:val="20"/>
          <w:szCs w:val="20"/>
          <w:u w:val="single"/>
        </w:rPr>
      </w:pPr>
    </w:p>
    <w:p w14:paraId="5085577D" w14:textId="53797FB0" w:rsidR="006358D5" w:rsidRDefault="00654EC2" w:rsidP="00654EC2">
      <w:pPr>
        <w:rPr>
          <w:rFonts w:ascii="Times New Roman" w:hAnsi="Times New Roman" w:cs="Times New Roman"/>
          <w:sz w:val="20"/>
          <w:szCs w:val="20"/>
        </w:rPr>
      </w:pPr>
      <w:bookmarkStart w:id="1" w:name="_GoBack"/>
      <w:bookmarkEnd w:id="1"/>
      <w:r w:rsidRPr="003F197C">
        <w:rPr>
          <w:rFonts w:ascii="Times New Roman" w:hAnsi="Times New Roman" w:cs="Times New Roman"/>
          <w:b/>
          <w:sz w:val="20"/>
          <w:szCs w:val="20"/>
          <w:u w:val="single"/>
        </w:rPr>
        <w:t>Further details of the indication</w:t>
      </w:r>
    </w:p>
    <w:p w14:paraId="7D8CD2B6" w14:textId="77777777" w:rsidR="006760DC" w:rsidRDefault="003C7D8D" w:rsidP="000F3343">
      <w:pPr>
        <w:rPr>
          <w:rFonts w:ascii="Times New Roman" w:hAnsi="Times New Roman" w:cs="Times New Roman"/>
          <w:sz w:val="20"/>
          <w:szCs w:val="20"/>
        </w:rPr>
      </w:pPr>
      <w:r>
        <w:rPr>
          <w:rFonts w:ascii="Times New Roman" w:hAnsi="Times New Roman" w:cs="Times New Roman"/>
          <w:sz w:val="20"/>
          <w:szCs w:val="20"/>
        </w:rPr>
        <w:t>T</w:t>
      </w:r>
      <w:r w:rsidR="00F469E1">
        <w:rPr>
          <w:rFonts w:ascii="Times New Roman" w:hAnsi="Times New Roman" w:cs="Times New Roman"/>
          <w:sz w:val="20"/>
          <w:szCs w:val="20"/>
        </w:rPr>
        <w:t xml:space="preserve">he relationship </w:t>
      </w:r>
      <w:r>
        <w:rPr>
          <w:rFonts w:ascii="Times New Roman" w:hAnsi="Times New Roman" w:cs="Times New Roman"/>
          <w:sz w:val="20"/>
          <w:szCs w:val="20"/>
        </w:rPr>
        <w:t xml:space="preserve">between </w:t>
      </w:r>
      <w:r w:rsidRPr="003C7D8D">
        <w:rPr>
          <w:rFonts w:ascii="Times New Roman" w:hAnsi="Times New Roman" w:cs="Times New Roman"/>
          <w:sz w:val="20"/>
          <w:szCs w:val="20"/>
        </w:rPr>
        <w:t xml:space="preserve">time validity of the frequency domain indication </w:t>
      </w:r>
      <w:r>
        <w:rPr>
          <w:rFonts w:ascii="Times New Roman" w:hAnsi="Times New Roman" w:cs="Times New Roman"/>
          <w:sz w:val="20"/>
          <w:szCs w:val="20"/>
        </w:rPr>
        <w:t xml:space="preserve">and </w:t>
      </w:r>
      <w:r w:rsidR="00F469E1">
        <w:rPr>
          <w:rFonts w:ascii="Times New Roman" w:hAnsi="Times New Roman" w:cs="Times New Roman"/>
          <w:sz w:val="20"/>
          <w:szCs w:val="20"/>
        </w:rPr>
        <w:t xml:space="preserve">the indication of time domain COT structure being discussed currently in DL signals and channels AI 7.2.2.1.2 </w:t>
      </w:r>
      <w:r w:rsidR="0022168B">
        <w:rPr>
          <w:rFonts w:ascii="Times New Roman" w:hAnsi="Times New Roman" w:cs="Times New Roman"/>
          <w:sz w:val="20"/>
          <w:szCs w:val="20"/>
        </w:rPr>
        <w:t xml:space="preserve">should be considered. </w:t>
      </w:r>
      <w:r w:rsidR="007F4F0D">
        <w:rPr>
          <w:rFonts w:ascii="Times New Roman" w:hAnsi="Times New Roman" w:cs="Times New Roman"/>
          <w:sz w:val="20"/>
          <w:szCs w:val="20"/>
        </w:rPr>
        <w:t>Generally</w:t>
      </w:r>
      <w:r w:rsidR="0022168B">
        <w:rPr>
          <w:rFonts w:ascii="Times New Roman" w:hAnsi="Times New Roman" w:cs="Times New Roman"/>
          <w:sz w:val="20"/>
          <w:szCs w:val="20"/>
        </w:rPr>
        <w:t>, the COT structure should define two-dimensional information: in time domain DL, UL and Flexible symbols, in frequency domain which LBT bandwidths and/or carriers are accessible to the UE.</w:t>
      </w:r>
      <w:r w:rsidR="007F4F0D">
        <w:rPr>
          <w:rFonts w:ascii="Times New Roman" w:hAnsi="Times New Roman" w:cs="Times New Roman"/>
          <w:sz w:val="20"/>
          <w:szCs w:val="20"/>
        </w:rPr>
        <w:t xml:space="preserve"> There are basically two ways to link the time domain and frequency domain information together.</w:t>
      </w:r>
      <w:r w:rsidR="008B2228">
        <w:rPr>
          <w:rFonts w:ascii="Times New Roman" w:hAnsi="Times New Roman" w:cs="Times New Roman"/>
          <w:sz w:val="20"/>
          <w:szCs w:val="20"/>
        </w:rPr>
        <w:t xml:space="preserve"> </w:t>
      </w:r>
    </w:p>
    <w:p w14:paraId="7DFF0048" w14:textId="4DA9F908" w:rsidR="006760DC" w:rsidRDefault="008B2228" w:rsidP="000F3343">
      <w:pPr>
        <w:rPr>
          <w:rFonts w:ascii="Times New Roman" w:hAnsi="Times New Roman" w:cs="Times New Roman"/>
          <w:sz w:val="20"/>
          <w:szCs w:val="20"/>
        </w:rPr>
      </w:pPr>
      <w:r>
        <w:rPr>
          <w:rFonts w:ascii="Times New Roman" w:hAnsi="Times New Roman" w:cs="Times New Roman"/>
          <w:sz w:val="20"/>
          <w:szCs w:val="20"/>
        </w:rPr>
        <w:t>A</w:t>
      </w:r>
      <w:r w:rsidR="007F4F0D">
        <w:rPr>
          <w:rFonts w:ascii="Times New Roman" w:hAnsi="Times New Roman" w:cs="Times New Roman"/>
          <w:sz w:val="20"/>
          <w:szCs w:val="20"/>
        </w:rPr>
        <w:t xml:space="preserve"> first option is to def</w:t>
      </w:r>
      <w:r>
        <w:rPr>
          <w:rFonts w:ascii="Times New Roman" w:hAnsi="Times New Roman" w:cs="Times New Roman"/>
          <w:sz w:val="20"/>
          <w:szCs w:val="20"/>
        </w:rPr>
        <w:t>ine that time domain indication</w:t>
      </w:r>
      <w:r w:rsidR="007F4F0D">
        <w:rPr>
          <w:rFonts w:ascii="Times New Roman" w:hAnsi="Times New Roman" w:cs="Times New Roman"/>
          <w:sz w:val="20"/>
          <w:szCs w:val="20"/>
        </w:rPr>
        <w:t xml:space="preserve"> is per LBT bandwidth </w:t>
      </w:r>
      <w:r>
        <w:rPr>
          <w:rFonts w:ascii="Times New Roman" w:hAnsi="Times New Roman" w:cs="Times New Roman"/>
          <w:sz w:val="20"/>
          <w:szCs w:val="20"/>
        </w:rPr>
        <w:t>(</w:t>
      </w:r>
      <w:r w:rsidR="007F4F0D">
        <w:rPr>
          <w:rFonts w:ascii="Times New Roman" w:hAnsi="Times New Roman" w:cs="Times New Roman"/>
          <w:sz w:val="20"/>
          <w:szCs w:val="20"/>
        </w:rPr>
        <w:t>and/or carrier</w:t>
      </w:r>
      <w:r>
        <w:rPr>
          <w:rFonts w:ascii="Times New Roman" w:hAnsi="Times New Roman" w:cs="Times New Roman"/>
          <w:sz w:val="20"/>
          <w:szCs w:val="20"/>
        </w:rPr>
        <w:t>)</w:t>
      </w:r>
      <w:r w:rsidR="009C5120">
        <w:rPr>
          <w:rFonts w:ascii="Times New Roman" w:hAnsi="Times New Roman" w:cs="Times New Roman"/>
          <w:sz w:val="20"/>
          <w:szCs w:val="20"/>
        </w:rPr>
        <w:t xml:space="preserve"> and gNB</w:t>
      </w:r>
      <w:r w:rsidR="003B0971">
        <w:rPr>
          <w:rFonts w:ascii="Times New Roman" w:hAnsi="Times New Roman" w:cs="Times New Roman"/>
          <w:sz w:val="20"/>
          <w:szCs w:val="20"/>
        </w:rPr>
        <w:t xml:space="preserve"> can indicate multiple time domain indication</w:t>
      </w:r>
      <w:r w:rsidR="009C5120">
        <w:rPr>
          <w:rFonts w:ascii="Times New Roman" w:hAnsi="Times New Roman" w:cs="Times New Roman"/>
          <w:sz w:val="20"/>
          <w:szCs w:val="20"/>
        </w:rPr>
        <w:t>s correspond</w:t>
      </w:r>
      <w:r w:rsidR="003B0971">
        <w:rPr>
          <w:rFonts w:ascii="Times New Roman" w:hAnsi="Times New Roman" w:cs="Times New Roman"/>
          <w:sz w:val="20"/>
          <w:szCs w:val="20"/>
        </w:rPr>
        <w:t xml:space="preserve"> to multiple LBT bandwidth</w:t>
      </w:r>
      <w:r>
        <w:rPr>
          <w:rFonts w:ascii="Times New Roman" w:hAnsi="Times New Roman" w:cs="Times New Roman"/>
          <w:sz w:val="20"/>
          <w:szCs w:val="20"/>
        </w:rPr>
        <w:t>. The advantage of such option is that no separate frequency occupancy field is needed.</w:t>
      </w:r>
      <w:r w:rsidR="006760DC">
        <w:rPr>
          <w:rFonts w:ascii="Times New Roman" w:hAnsi="Times New Roman" w:cs="Times New Roman"/>
          <w:sz w:val="20"/>
          <w:szCs w:val="20"/>
        </w:rPr>
        <w:t xml:space="preserve"> For example, consider a 60 MHz unlicensed carrier which contains 3 LBT bandwidths of 20 MHz. The two-dimensional channel structure information may look like</w:t>
      </w:r>
      <w:r w:rsidR="006268BE">
        <w:rPr>
          <w:rFonts w:ascii="Times New Roman" w:hAnsi="Times New Roman" w:cs="Times New Roman"/>
          <w:sz w:val="20"/>
          <w:szCs w:val="20"/>
        </w:rPr>
        <w:t>:</w:t>
      </w:r>
      <w:r w:rsidR="006760DC">
        <w:rPr>
          <w:rFonts w:ascii="Times New Roman" w:hAnsi="Times New Roman" w:cs="Times New Roman"/>
          <w:sz w:val="20"/>
          <w:szCs w:val="20"/>
        </w:rPr>
        <w:t xml:space="preserve"> </w:t>
      </w:r>
    </w:p>
    <w:p w14:paraId="3F5985C9" w14:textId="77777777" w:rsidR="006268BE" w:rsidRDefault="006760DC" w:rsidP="000F3343">
      <w:pPr>
        <w:rPr>
          <w:rFonts w:ascii="Times New Roman" w:hAnsi="Times New Roman" w:cs="Times New Roman"/>
          <w:sz w:val="20"/>
          <w:szCs w:val="20"/>
        </w:rPr>
      </w:pPr>
      <w:r>
        <w:rPr>
          <w:rFonts w:ascii="Times New Roman" w:hAnsi="Times New Roman" w:cs="Times New Roman"/>
          <w:sz w:val="20"/>
          <w:szCs w:val="20"/>
        </w:rPr>
        <w:lastRenderedPageBreak/>
        <w:t>(</w:t>
      </w:r>
      <w:r w:rsidR="006268BE">
        <w:rPr>
          <w:rFonts w:ascii="Times New Roman" w:hAnsi="Times New Roman" w:cs="Times New Roman"/>
          <w:sz w:val="20"/>
          <w:szCs w:val="20"/>
        </w:rPr>
        <w:t>T</w:t>
      </w:r>
      <w:r>
        <w:rPr>
          <w:rFonts w:ascii="Times New Roman" w:hAnsi="Times New Roman" w:cs="Times New Roman"/>
          <w:sz w:val="20"/>
          <w:szCs w:val="20"/>
        </w:rPr>
        <w:t>ime</w:t>
      </w:r>
      <w:r w:rsidR="006268BE">
        <w:rPr>
          <w:rFonts w:ascii="Times New Roman" w:hAnsi="Times New Roman" w:cs="Times New Roman"/>
          <w:sz w:val="20"/>
          <w:szCs w:val="20"/>
        </w:rPr>
        <w:t xml:space="preserve"> </w:t>
      </w:r>
      <w:r>
        <w:rPr>
          <w:rFonts w:ascii="Times New Roman" w:hAnsi="Times New Roman" w:cs="Times New Roman"/>
          <w:sz w:val="20"/>
          <w:szCs w:val="20"/>
        </w:rPr>
        <w:t xml:space="preserve">structure </w:t>
      </w:r>
      <w:r w:rsidR="006268BE">
        <w:rPr>
          <w:rFonts w:ascii="Times New Roman" w:hAnsi="Times New Roman" w:cs="Times New Roman"/>
          <w:sz w:val="20"/>
          <w:szCs w:val="20"/>
        </w:rPr>
        <w:t>for 1</w:t>
      </w:r>
      <w:r w:rsidR="006268BE" w:rsidRPr="003D30B5">
        <w:rPr>
          <w:rFonts w:ascii="Times New Roman" w:hAnsi="Times New Roman" w:cs="Times New Roman"/>
          <w:sz w:val="20"/>
          <w:szCs w:val="20"/>
          <w:vertAlign w:val="superscript"/>
        </w:rPr>
        <w:t>st</w:t>
      </w:r>
      <w:r w:rsidR="006268BE">
        <w:rPr>
          <w:rFonts w:ascii="Times New Roman" w:hAnsi="Times New Roman" w:cs="Times New Roman"/>
          <w:sz w:val="20"/>
          <w:szCs w:val="20"/>
        </w:rPr>
        <w:t xml:space="preserve"> LBT bandwidth, T</w:t>
      </w:r>
      <w:r>
        <w:rPr>
          <w:rFonts w:ascii="Times New Roman" w:hAnsi="Times New Roman" w:cs="Times New Roman"/>
          <w:sz w:val="20"/>
          <w:szCs w:val="20"/>
        </w:rPr>
        <w:t xml:space="preserve">ime </w:t>
      </w:r>
      <w:r w:rsidR="006268BE">
        <w:rPr>
          <w:rFonts w:ascii="Times New Roman" w:hAnsi="Times New Roman" w:cs="Times New Roman"/>
          <w:sz w:val="20"/>
          <w:szCs w:val="20"/>
        </w:rPr>
        <w:t>domain structure for 2</w:t>
      </w:r>
      <w:r w:rsidR="006268BE" w:rsidRPr="003D30B5">
        <w:rPr>
          <w:rFonts w:ascii="Times New Roman" w:hAnsi="Times New Roman" w:cs="Times New Roman"/>
          <w:sz w:val="20"/>
          <w:szCs w:val="20"/>
          <w:vertAlign w:val="superscript"/>
        </w:rPr>
        <w:t>nd</w:t>
      </w:r>
      <w:r w:rsidR="006268BE">
        <w:rPr>
          <w:rFonts w:ascii="Times New Roman" w:hAnsi="Times New Roman" w:cs="Times New Roman"/>
          <w:sz w:val="20"/>
          <w:szCs w:val="20"/>
        </w:rPr>
        <w:t xml:space="preserve"> LBT bandwidth, Time structure for 3</w:t>
      </w:r>
      <w:r w:rsidR="006268BE" w:rsidRPr="003D30B5">
        <w:rPr>
          <w:rFonts w:ascii="Times New Roman" w:hAnsi="Times New Roman" w:cs="Times New Roman"/>
          <w:sz w:val="20"/>
          <w:szCs w:val="20"/>
          <w:vertAlign w:val="superscript"/>
        </w:rPr>
        <w:t>rd</w:t>
      </w:r>
      <w:r w:rsidR="006268BE">
        <w:rPr>
          <w:rFonts w:ascii="Times New Roman" w:hAnsi="Times New Roman" w:cs="Times New Roman"/>
          <w:sz w:val="20"/>
          <w:szCs w:val="20"/>
        </w:rPr>
        <w:t xml:space="preserve"> LBT bandwidth), </w:t>
      </w:r>
    </w:p>
    <w:p w14:paraId="7D21F5C6" w14:textId="0EE38430" w:rsidR="006268BE" w:rsidRDefault="006268BE" w:rsidP="000F3343">
      <w:pPr>
        <w:rPr>
          <w:rFonts w:ascii="Times New Roman" w:hAnsi="Times New Roman" w:cs="Times New Roman"/>
          <w:sz w:val="20"/>
          <w:szCs w:val="20"/>
        </w:rPr>
      </w:pPr>
      <w:r>
        <w:rPr>
          <w:rFonts w:ascii="Times New Roman" w:hAnsi="Times New Roman" w:cs="Times New Roman"/>
          <w:sz w:val="20"/>
          <w:szCs w:val="20"/>
        </w:rPr>
        <w:t>where each time structure defines D/U/F for 20MHz LBT bandwidth.</w:t>
      </w:r>
      <w:r w:rsidR="00E7294A">
        <w:rPr>
          <w:rFonts w:ascii="Times New Roman" w:hAnsi="Times New Roman" w:cs="Times New Roman"/>
          <w:sz w:val="20"/>
          <w:szCs w:val="20"/>
        </w:rPr>
        <w:t xml:space="preserve"> If a time domain structure indicates all “F” for a certain LBT bandwidth, UE can interpret that the LBT bandwidth is not available, hence skips any PDCCH monitoring. On the other hand, i</w:t>
      </w:r>
      <w:r>
        <w:rPr>
          <w:rFonts w:ascii="Times New Roman" w:hAnsi="Times New Roman" w:cs="Times New Roman"/>
          <w:sz w:val="20"/>
          <w:szCs w:val="20"/>
        </w:rPr>
        <w:t>f a time domain structure is missing for a certain LBT bandwidth,</w:t>
      </w:r>
      <w:r w:rsidR="00AE02DB">
        <w:rPr>
          <w:rFonts w:ascii="Times New Roman" w:hAnsi="Times New Roman" w:cs="Times New Roman"/>
          <w:sz w:val="20"/>
          <w:szCs w:val="20"/>
        </w:rPr>
        <w:t xml:space="preserve"> UE </w:t>
      </w:r>
      <w:r w:rsidR="009C5120">
        <w:rPr>
          <w:rFonts w:ascii="Times New Roman" w:hAnsi="Times New Roman" w:cs="Times New Roman"/>
          <w:sz w:val="20"/>
          <w:szCs w:val="20"/>
        </w:rPr>
        <w:t>shall</w:t>
      </w:r>
      <w:r w:rsidR="00AE02DB">
        <w:rPr>
          <w:rFonts w:ascii="Times New Roman" w:hAnsi="Times New Roman" w:cs="Times New Roman"/>
          <w:sz w:val="20"/>
          <w:szCs w:val="20"/>
        </w:rPr>
        <w:t xml:space="preserve"> assume the </w:t>
      </w:r>
      <w:r w:rsidR="00E7294A">
        <w:rPr>
          <w:rFonts w:ascii="Times New Roman" w:hAnsi="Times New Roman" w:cs="Times New Roman"/>
          <w:sz w:val="20"/>
          <w:szCs w:val="20"/>
        </w:rPr>
        <w:t xml:space="preserve">availability of the </w:t>
      </w:r>
      <w:r w:rsidR="00AE02DB">
        <w:rPr>
          <w:rFonts w:ascii="Times New Roman" w:hAnsi="Times New Roman" w:cs="Times New Roman"/>
          <w:sz w:val="20"/>
          <w:szCs w:val="20"/>
        </w:rPr>
        <w:t>LBT bandwidth is “unknown”</w:t>
      </w:r>
      <w:r w:rsidR="00E7294A">
        <w:rPr>
          <w:rFonts w:ascii="Times New Roman" w:hAnsi="Times New Roman" w:cs="Times New Roman"/>
          <w:sz w:val="20"/>
          <w:szCs w:val="20"/>
        </w:rPr>
        <w:t xml:space="preserve"> or “undetermined”</w:t>
      </w:r>
      <w:r>
        <w:rPr>
          <w:rFonts w:ascii="Times New Roman" w:hAnsi="Times New Roman" w:cs="Times New Roman"/>
          <w:sz w:val="20"/>
          <w:szCs w:val="20"/>
        </w:rPr>
        <w:t>.</w:t>
      </w:r>
      <w:r w:rsidR="00E7294A">
        <w:rPr>
          <w:rFonts w:ascii="Times New Roman" w:hAnsi="Times New Roman" w:cs="Times New Roman"/>
          <w:sz w:val="20"/>
          <w:szCs w:val="20"/>
        </w:rPr>
        <w:t xml:space="preserve"> This can happen if the gNB has not enough time to prepare such indication yet.</w:t>
      </w:r>
      <w:r w:rsidR="00AE02DB">
        <w:rPr>
          <w:rFonts w:ascii="Times New Roman" w:hAnsi="Times New Roman" w:cs="Times New Roman"/>
          <w:sz w:val="20"/>
          <w:szCs w:val="20"/>
        </w:rPr>
        <w:t xml:space="preserve"> </w:t>
      </w:r>
      <w:r w:rsidR="00E7294A">
        <w:rPr>
          <w:rFonts w:ascii="Times New Roman" w:hAnsi="Times New Roman" w:cs="Times New Roman"/>
          <w:sz w:val="20"/>
          <w:szCs w:val="20"/>
        </w:rPr>
        <w:t>In such case</w:t>
      </w:r>
      <w:r w:rsidR="00501607">
        <w:rPr>
          <w:rFonts w:ascii="Times New Roman" w:hAnsi="Times New Roman" w:cs="Times New Roman"/>
          <w:sz w:val="20"/>
          <w:szCs w:val="20"/>
        </w:rPr>
        <w:t xml:space="preserve">, </w:t>
      </w:r>
      <w:r w:rsidR="00AA50D3">
        <w:rPr>
          <w:rFonts w:ascii="Times New Roman" w:hAnsi="Times New Roman" w:cs="Times New Roman"/>
          <w:sz w:val="20"/>
          <w:szCs w:val="20"/>
        </w:rPr>
        <w:t>UE still needs to monitor PDCCH at the pre-configured occasions</w:t>
      </w:r>
      <w:r w:rsidR="00F46FA4">
        <w:rPr>
          <w:rFonts w:ascii="Times New Roman" w:hAnsi="Times New Roman" w:cs="Times New Roman"/>
          <w:sz w:val="20"/>
          <w:szCs w:val="20"/>
        </w:rPr>
        <w:t>.</w:t>
      </w:r>
      <w:r w:rsidR="00AA50D3">
        <w:rPr>
          <w:rFonts w:ascii="Times New Roman" w:hAnsi="Times New Roman" w:cs="Times New Roman"/>
          <w:sz w:val="20"/>
          <w:szCs w:val="20"/>
        </w:rPr>
        <w:t xml:space="preserve">  </w:t>
      </w:r>
      <w:r>
        <w:rPr>
          <w:rFonts w:ascii="Times New Roman" w:hAnsi="Times New Roman" w:cs="Times New Roman"/>
          <w:sz w:val="20"/>
          <w:szCs w:val="20"/>
        </w:rPr>
        <w:t xml:space="preserve">  </w:t>
      </w:r>
    </w:p>
    <w:p w14:paraId="5BA57218" w14:textId="05A69F2C" w:rsidR="006268BE" w:rsidRDefault="006268BE" w:rsidP="000F3343">
      <w:pPr>
        <w:rPr>
          <w:rFonts w:ascii="Times New Roman" w:hAnsi="Times New Roman" w:cs="Times New Roman"/>
          <w:sz w:val="20"/>
          <w:szCs w:val="20"/>
        </w:rPr>
      </w:pPr>
      <w:r>
        <w:rPr>
          <w:rFonts w:ascii="Times New Roman" w:hAnsi="Times New Roman" w:cs="Times New Roman"/>
          <w:sz w:val="20"/>
          <w:szCs w:val="20"/>
        </w:rPr>
        <w:t>A</w:t>
      </w:r>
      <w:r w:rsidR="008B2228">
        <w:rPr>
          <w:rFonts w:ascii="Times New Roman" w:hAnsi="Times New Roman" w:cs="Times New Roman"/>
          <w:sz w:val="20"/>
          <w:szCs w:val="20"/>
        </w:rPr>
        <w:t xml:space="preserve"> second option</w:t>
      </w:r>
      <w:r w:rsidR="00C20A44">
        <w:rPr>
          <w:rFonts w:ascii="Times New Roman" w:hAnsi="Times New Roman" w:cs="Times New Roman"/>
          <w:sz w:val="20"/>
          <w:szCs w:val="20"/>
        </w:rPr>
        <w:t xml:space="preserve"> </w:t>
      </w:r>
      <w:r>
        <w:rPr>
          <w:rFonts w:ascii="Times New Roman" w:hAnsi="Times New Roman" w:cs="Times New Roman"/>
          <w:sz w:val="20"/>
          <w:szCs w:val="20"/>
        </w:rPr>
        <w:t>is to use</w:t>
      </w:r>
      <w:r w:rsidR="00C20A44">
        <w:rPr>
          <w:rFonts w:ascii="Times New Roman" w:hAnsi="Times New Roman" w:cs="Times New Roman"/>
          <w:sz w:val="20"/>
          <w:szCs w:val="20"/>
        </w:rPr>
        <w:t xml:space="preserve"> a separate frequency domain occupancy field, e.g. a bit-map, to explicit indicate the available and unavailable LBT bandwidths (and/or carriers).</w:t>
      </w:r>
      <w:r>
        <w:rPr>
          <w:rFonts w:ascii="Times New Roman" w:hAnsi="Times New Roman" w:cs="Times New Roman"/>
          <w:sz w:val="20"/>
          <w:szCs w:val="20"/>
        </w:rPr>
        <w:t xml:space="preserve"> For example, the 60 MHz unlicensed carrier occupancy can have the following indication:</w:t>
      </w:r>
    </w:p>
    <w:p w14:paraId="2E3E78E2" w14:textId="04DE090C" w:rsidR="00AE02DB" w:rsidRDefault="00AE02DB" w:rsidP="000F3343">
      <w:pPr>
        <w:rPr>
          <w:rFonts w:ascii="Times New Roman" w:hAnsi="Times New Roman" w:cs="Times New Roman"/>
          <w:sz w:val="20"/>
          <w:szCs w:val="20"/>
        </w:rPr>
      </w:pPr>
      <w:r>
        <w:rPr>
          <w:rFonts w:ascii="Times New Roman" w:hAnsi="Times New Roman" w:cs="Times New Roman"/>
          <w:sz w:val="20"/>
          <w:szCs w:val="20"/>
        </w:rPr>
        <w:t>(</w:t>
      </w:r>
      <w:r w:rsidR="009C5120">
        <w:rPr>
          <w:rFonts w:ascii="Times New Roman" w:hAnsi="Times New Roman" w:cs="Times New Roman"/>
          <w:sz w:val="20"/>
          <w:szCs w:val="20"/>
        </w:rPr>
        <w:t xml:space="preserve">Frequency structure: 011, </w:t>
      </w:r>
      <w:r>
        <w:rPr>
          <w:rFonts w:ascii="Times New Roman" w:hAnsi="Times New Roman" w:cs="Times New Roman"/>
          <w:sz w:val="20"/>
          <w:szCs w:val="20"/>
        </w:rPr>
        <w:t>Time structure: DDDDDDFFUUUUUU</w:t>
      </w:r>
      <w:r w:rsidR="006268BE">
        <w:rPr>
          <w:rFonts w:ascii="Times New Roman" w:hAnsi="Times New Roman" w:cs="Times New Roman"/>
          <w:sz w:val="20"/>
          <w:szCs w:val="20"/>
        </w:rPr>
        <w:t>)</w:t>
      </w:r>
      <w:r>
        <w:rPr>
          <w:rFonts w:ascii="Times New Roman" w:hAnsi="Times New Roman" w:cs="Times New Roman"/>
          <w:sz w:val="20"/>
          <w:szCs w:val="20"/>
        </w:rPr>
        <w:t>,</w:t>
      </w:r>
    </w:p>
    <w:p w14:paraId="1F42BE51" w14:textId="0FA795F0" w:rsidR="00060B7B" w:rsidRDefault="00AE02DB" w:rsidP="003D30B5">
      <w:pPr>
        <w:rPr>
          <w:rFonts w:ascii="Times New Roman" w:hAnsi="Times New Roman" w:cs="Times New Roman"/>
          <w:sz w:val="20"/>
          <w:szCs w:val="20"/>
        </w:rPr>
      </w:pPr>
      <w:r>
        <w:rPr>
          <w:rFonts w:ascii="Times New Roman" w:hAnsi="Times New Roman" w:cs="Times New Roman"/>
          <w:sz w:val="20"/>
          <w:szCs w:val="20"/>
        </w:rPr>
        <w:t>where “011” means the all LBT bandwidths are available except the 1</w:t>
      </w:r>
      <w:r w:rsidRPr="003D30B5">
        <w:rPr>
          <w:rFonts w:ascii="Times New Roman" w:hAnsi="Times New Roman" w:cs="Times New Roman"/>
          <w:sz w:val="20"/>
          <w:szCs w:val="20"/>
          <w:vertAlign w:val="superscript"/>
        </w:rPr>
        <w:t>st</w:t>
      </w:r>
      <w:r>
        <w:rPr>
          <w:rFonts w:ascii="Times New Roman" w:hAnsi="Times New Roman" w:cs="Times New Roman"/>
          <w:sz w:val="20"/>
          <w:szCs w:val="20"/>
        </w:rPr>
        <w:t xml:space="preserve"> one, and the D/U/F sym</w:t>
      </w:r>
      <w:r w:rsidR="00DF086B">
        <w:rPr>
          <w:rFonts w:ascii="Times New Roman" w:hAnsi="Times New Roman" w:cs="Times New Roman"/>
          <w:sz w:val="20"/>
          <w:szCs w:val="20"/>
        </w:rPr>
        <w:t xml:space="preserve">bol indication applies to the </w:t>
      </w:r>
      <w:r>
        <w:rPr>
          <w:rFonts w:ascii="Times New Roman" w:hAnsi="Times New Roman" w:cs="Times New Roman"/>
          <w:sz w:val="20"/>
          <w:szCs w:val="20"/>
        </w:rPr>
        <w:t>available LBT bandwidths.</w:t>
      </w:r>
      <w:r w:rsidR="00D1108E">
        <w:rPr>
          <w:rFonts w:ascii="Times New Roman" w:hAnsi="Times New Roman" w:cs="Times New Roman"/>
          <w:sz w:val="20"/>
          <w:szCs w:val="20"/>
        </w:rPr>
        <w:t xml:space="preserve"> </w:t>
      </w:r>
      <w:r w:rsidR="00F46FA4">
        <w:rPr>
          <w:rFonts w:ascii="Times New Roman" w:hAnsi="Times New Roman" w:cs="Times New Roman"/>
          <w:sz w:val="20"/>
          <w:szCs w:val="20"/>
        </w:rPr>
        <w:t>If the status of unknown or undetermined also needs to be covered, two-bit for each LBT bandwidth can be indicated</w:t>
      </w:r>
      <w:r w:rsidR="00AA50D3">
        <w:rPr>
          <w:rFonts w:ascii="Times New Roman" w:hAnsi="Times New Roman" w:cs="Times New Roman"/>
          <w:sz w:val="20"/>
          <w:szCs w:val="20"/>
        </w:rPr>
        <w:t xml:space="preserve">. </w:t>
      </w:r>
    </w:p>
    <w:p w14:paraId="79679F6D" w14:textId="438671F9" w:rsidR="00F46FA4" w:rsidRDefault="00F46FA4" w:rsidP="003D30B5">
      <w:pPr>
        <w:rPr>
          <w:rFonts w:ascii="Times New Roman" w:hAnsi="Times New Roman" w:cs="Times New Roman"/>
          <w:sz w:val="20"/>
          <w:szCs w:val="20"/>
        </w:rPr>
      </w:pPr>
      <w:r>
        <w:rPr>
          <w:rFonts w:ascii="Times New Roman" w:hAnsi="Times New Roman" w:cs="Times New Roman"/>
          <w:sz w:val="20"/>
          <w:szCs w:val="20"/>
        </w:rPr>
        <w:t xml:space="preserve">Compared to the first option, the second option may require less signalling </w:t>
      </w:r>
      <w:r w:rsidR="00C96107">
        <w:rPr>
          <w:rFonts w:ascii="Times New Roman" w:hAnsi="Times New Roman" w:cs="Times New Roman"/>
          <w:sz w:val="20"/>
          <w:szCs w:val="20"/>
        </w:rPr>
        <w:t>overhead, but the first option provides the flexibility to indicate different DL or UL directions for different frequency ranges over the same time instance. This could be useful when full duplex is introduced in the future</w:t>
      </w:r>
      <w:r w:rsidR="008D12B0">
        <w:rPr>
          <w:rFonts w:ascii="Times New Roman" w:hAnsi="Times New Roman" w:cs="Times New Roman"/>
          <w:sz w:val="20"/>
          <w:szCs w:val="20"/>
        </w:rPr>
        <w:t xml:space="preserve"> or the case </w:t>
      </w:r>
      <w:r w:rsidR="00C420EA">
        <w:rPr>
          <w:rFonts w:ascii="Times New Roman" w:hAnsi="Times New Roman" w:cs="Times New Roman"/>
          <w:sz w:val="20"/>
          <w:szCs w:val="20"/>
        </w:rPr>
        <w:t>multiple LBT bandwidths are sufficiently isolated in the frequency bands</w:t>
      </w:r>
      <w:r w:rsidR="00C96107">
        <w:rPr>
          <w:rFonts w:ascii="Times New Roman" w:hAnsi="Times New Roman" w:cs="Times New Roman"/>
          <w:sz w:val="20"/>
          <w:szCs w:val="20"/>
        </w:rPr>
        <w:t>. On the other hand, the similar functionality can be realized by the second option via sending different GC-PDCCHs simultaneously. Therefore, we propose the following.</w:t>
      </w:r>
    </w:p>
    <w:p w14:paraId="1837A129" w14:textId="77777777" w:rsidR="00060B7B" w:rsidRDefault="00060B7B" w:rsidP="000F3343">
      <w:pPr>
        <w:rPr>
          <w:rFonts w:ascii="Times New Roman" w:hAnsi="Times New Roman" w:cs="Times New Roman"/>
          <w:sz w:val="20"/>
          <w:szCs w:val="20"/>
        </w:rPr>
      </w:pPr>
    </w:p>
    <w:p w14:paraId="2FA4EC7B" w14:textId="1F6E7D4E" w:rsidR="00A32662" w:rsidRPr="00E666C9" w:rsidRDefault="00A32662" w:rsidP="00A32662">
      <w:pPr>
        <w:rPr>
          <w:rFonts w:ascii="Times New Roman" w:hAnsi="Times New Roman" w:cs="Times New Roman"/>
          <w:sz w:val="20"/>
          <w:szCs w:val="20"/>
          <w:lang w:eastAsia="en-US"/>
        </w:rPr>
      </w:pPr>
      <w:r>
        <w:rPr>
          <w:rFonts w:ascii="Times New Roman" w:hAnsi="Times New Roman" w:cs="Times New Roman"/>
          <w:b/>
          <w:sz w:val="20"/>
          <w:szCs w:val="20"/>
          <w:lang w:eastAsia="en-US"/>
        </w:rPr>
        <w:t xml:space="preserve">Proposal </w:t>
      </w:r>
      <w:r w:rsidR="00120616">
        <w:rPr>
          <w:rFonts w:ascii="Times New Roman" w:hAnsi="Times New Roman" w:cs="Times New Roman"/>
          <w:b/>
          <w:sz w:val="20"/>
          <w:szCs w:val="20"/>
          <w:lang w:eastAsia="en-US"/>
        </w:rPr>
        <w:t>2</w:t>
      </w:r>
      <w:r w:rsidRPr="00E666C9">
        <w:rPr>
          <w:rFonts w:ascii="Times New Roman" w:hAnsi="Times New Roman" w:cs="Times New Roman"/>
          <w:b/>
          <w:sz w:val="20"/>
          <w:szCs w:val="20"/>
          <w:lang w:eastAsia="en-US"/>
        </w:rPr>
        <w:t>:</w:t>
      </w:r>
      <w:r w:rsidR="00AF0D31">
        <w:rPr>
          <w:rFonts w:ascii="Times New Roman" w:hAnsi="Times New Roman" w:cs="Times New Roman"/>
          <w:b/>
          <w:sz w:val="20"/>
          <w:szCs w:val="20"/>
          <w:lang w:eastAsia="en-US"/>
        </w:rPr>
        <w:t xml:space="preserve"> Frequency domain occupancy indication has a dedicated field which is separate from the time domain structure indication</w:t>
      </w:r>
      <w:r>
        <w:rPr>
          <w:rFonts w:ascii="Times New Roman" w:hAnsi="Times New Roman" w:cs="Times New Roman"/>
          <w:sz w:val="20"/>
          <w:szCs w:val="20"/>
          <w:lang w:eastAsia="en-US"/>
        </w:rPr>
        <w:t>.</w:t>
      </w:r>
    </w:p>
    <w:p w14:paraId="22931019" w14:textId="422E3210" w:rsidR="00231EE8" w:rsidRDefault="00231EE8" w:rsidP="000F3343">
      <w:pPr>
        <w:rPr>
          <w:rFonts w:ascii="Times New Roman" w:hAnsi="Times New Roman" w:cs="Times New Roman"/>
          <w:sz w:val="20"/>
          <w:szCs w:val="20"/>
        </w:rPr>
      </w:pPr>
    </w:p>
    <w:p w14:paraId="01437A24" w14:textId="736E50B2" w:rsidR="00E674EE" w:rsidRDefault="00E674EE" w:rsidP="000F3343">
      <w:pPr>
        <w:rPr>
          <w:rFonts w:ascii="Times New Roman" w:hAnsi="Times New Roman" w:cs="Times New Roman"/>
          <w:sz w:val="20"/>
          <w:szCs w:val="20"/>
        </w:rPr>
      </w:pPr>
      <w:r>
        <w:rPr>
          <w:rFonts w:ascii="Times New Roman" w:hAnsi="Times New Roman" w:cs="Times New Roman"/>
          <w:b/>
          <w:sz w:val="20"/>
          <w:szCs w:val="20"/>
          <w:u w:val="single"/>
        </w:rPr>
        <w:t>Mechanism to handle the beginning of COT</w:t>
      </w:r>
    </w:p>
    <w:p w14:paraId="746CC023" w14:textId="2C9F0E52" w:rsidR="0017649E" w:rsidRDefault="0017649E" w:rsidP="000F3343">
      <w:pPr>
        <w:rPr>
          <w:rFonts w:ascii="Times New Roman" w:hAnsi="Times New Roman" w:cs="Times New Roman"/>
          <w:sz w:val="20"/>
          <w:szCs w:val="20"/>
        </w:rPr>
      </w:pPr>
      <w:r>
        <w:rPr>
          <w:rFonts w:ascii="Times New Roman" w:hAnsi="Times New Roman" w:cs="Times New Roman"/>
          <w:sz w:val="20"/>
          <w:szCs w:val="20"/>
        </w:rPr>
        <w:t xml:space="preserve">Regarding the second FFS, at the beginning of the COT, if gNB cannot prepare GC-PDCCH to reflect the LBT outcome, then the indication can point to a null value, e.g., ‘0000’. Upon receiving such indication, UE knows frequency domain occupancy information is not yet prepared by gNB. The consequence would be that UE needs to monitor all </w:t>
      </w:r>
      <w:r w:rsidR="00A572BF">
        <w:rPr>
          <w:rFonts w:ascii="Times New Roman" w:hAnsi="Times New Roman" w:cs="Times New Roman"/>
          <w:sz w:val="20"/>
          <w:szCs w:val="20"/>
        </w:rPr>
        <w:t xml:space="preserve">unknown status of </w:t>
      </w:r>
      <w:r>
        <w:rPr>
          <w:rFonts w:ascii="Times New Roman" w:hAnsi="Times New Roman" w:cs="Times New Roman"/>
          <w:sz w:val="20"/>
          <w:szCs w:val="20"/>
        </w:rPr>
        <w:t>LBT bandwidths within the active BWP for PDCCH/PDSCH. In other words, skipping a certain LBT bandwidth is only allowed when it is indicated so.</w:t>
      </w:r>
    </w:p>
    <w:p w14:paraId="50983F01" w14:textId="49CFE560" w:rsidR="00231EE8" w:rsidRPr="00E666C9" w:rsidRDefault="00231EE8" w:rsidP="00231EE8">
      <w:pPr>
        <w:rPr>
          <w:rFonts w:ascii="Times New Roman" w:hAnsi="Times New Roman" w:cs="Times New Roman"/>
          <w:sz w:val="20"/>
          <w:szCs w:val="20"/>
          <w:lang w:eastAsia="en-US"/>
        </w:rPr>
      </w:pPr>
      <w:r>
        <w:rPr>
          <w:rFonts w:ascii="Times New Roman" w:hAnsi="Times New Roman" w:cs="Times New Roman"/>
          <w:b/>
          <w:sz w:val="20"/>
          <w:szCs w:val="20"/>
          <w:lang w:eastAsia="en-US"/>
        </w:rPr>
        <w:t xml:space="preserve">Proposal </w:t>
      </w:r>
      <w:r w:rsidR="00780339">
        <w:rPr>
          <w:rFonts w:ascii="Times New Roman" w:hAnsi="Times New Roman" w:cs="Times New Roman"/>
          <w:b/>
          <w:sz w:val="20"/>
          <w:szCs w:val="20"/>
          <w:lang w:eastAsia="en-US"/>
        </w:rPr>
        <w:t>3</w:t>
      </w:r>
      <w:r w:rsidRPr="00E666C9">
        <w:rPr>
          <w:rFonts w:ascii="Times New Roman" w:hAnsi="Times New Roman" w:cs="Times New Roman"/>
          <w:b/>
          <w:sz w:val="20"/>
          <w:szCs w:val="20"/>
          <w:lang w:eastAsia="en-US"/>
        </w:rPr>
        <w:t>:</w:t>
      </w:r>
      <w:r>
        <w:rPr>
          <w:rFonts w:ascii="Times New Roman" w:hAnsi="Times New Roman" w:cs="Times New Roman"/>
          <w:b/>
          <w:sz w:val="20"/>
          <w:szCs w:val="20"/>
          <w:lang w:eastAsia="en-US"/>
        </w:rPr>
        <w:t xml:space="preserve"> It is up to gNB’s implementation whether to transmit frequency domain occupancy indication at the beginning of DL burst. If such information is not prepared yet, the indication can point to a null value</w:t>
      </w:r>
      <w:r>
        <w:rPr>
          <w:rFonts w:ascii="Times New Roman" w:hAnsi="Times New Roman" w:cs="Times New Roman"/>
          <w:sz w:val="20"/>
          <w:szCs w:val="20"/>
          <w:lang w:eastAsia="en-US"/>
        </w:rPr>
        <w:t xml:space="preserve">. </w:t>
      </w:r>
    </w:p>
    <w:p w14:paraId="7A3487E7" w14:textId="77777777" w:rsidR="009D74E1" w:rsidRDefault="009D74E1" w:rsidP="009D74E1">
      <w:pPr>
        <w:rPr>
          <w:rFonts w:ascii="Times New Roman" w:hAnsi="Times New Roman" w:cs="Times New Roman"/>
          <w:sz w:val="20"/>
          <w:szCs w:val="20"/>
        </w:rPr>
      </w:pPr>
    </w:p>
    <w:p w14:paraId="4C1222C8" w14:textId="58A8DAAA" w:rsidR="00231EE8" w:rsidRDefault="009D74E1" w:rsidP="000F3343">
      <w:pPr>
        <w:rPr>
          <w:rFonts w:ascii="Times New Roman" w:hAnsi="Times New Roman" w:cs="Times New Roman"/>
          <w:sz w:val="20"/>
          <w:szCs w:val="20"/>
        </w:rPr>
      </w:pPr>
      <w:r>
        <w:rPr>
          <w:rFonts w:ascii="Times New Roman" w:hAnsi="Times New Roman" w:cs="Times New Roman"/>
          <w:b/>
          <w:sz w:val="20"/>
          <w:szCs w:val="20"/>
          <w:u w:val="single"/>
        </w:rPr>
        <w:t>Mechanism to handle case when GC-PDCCH is not configured/received</w:t>
      </w:r>
    </w:p>
    <w:p w14:paraId="0A997C5B" w14:textId="6EA1B10D" w:rsidR="00824F6D" w:rsidRDefault="00086D4F" w:rsidP="000F3343">
      <w:pPr>
        <w:rPr>
          <w:rFonts w:ascii="Times New Roman" w:hAnsi="Times New Roman" w:cs="Times New Roman"/>
          <w:sz w:val="20"/>
          <w:szCs w:val="20"/>
        </w:rPr>
      </w:pPr>
      <w:r>
        <w:rPr>
          <w:rFonts w:ascii="Times New Roman" w:hAnsi="Times New Roman" w:cs="Times New Roman"/>
          <w:sz w:val="20"/>
          <w:szCs w:val="20"/>
        </w:rPr>
        <w:t>For the third FFS, in our view, GC-PDCCH for COT structure information indication is configured in SIB1. Therefore, it is possible for idle/inactive UE to monitor GC-PDCCH. Once RRC connection is established, dedicated RRC signalling can be used for a different GC-PDCCH configuration</w:t>
      </w:r>
      <w:r w:rsidR="00824F6D">
        <w:rPr>
          <w:rFonts w:ascii="Times New Roman" w:hAnsi="Times New Roman" w:cs="Times New Roman"/>
          <w:sz w:val="20"/>
          <w:szCs w:val="20"/>
        </w:rPr>
        <w:t xml:space="preserve"> than the one by SIB1, e.g. a different RNTI. </w:t>
      </w:r>
    </w:p>
    <w:p w14:paraId="505DBCA5" w14:textId="739BB220" w:rsidR="00D02F7A" w:rsidRDefault="00824F6D" w:rsidP="000F3343">
      <w:pPr>
        <w:rPr>
          <w:rFonts w:ascii="Times New Roman" w:hAnsi="Times New Roman" w:cs="Times New Roman"/>
          <w:sz w:val="20"/>
          <w:szCs w:val="20"/>
        </w:rPr>
      </w:pPr>
      <w:r>
        <w:rPr>
          <w:rFonts w:ascii="Times New Roman" w:hAnsi="Times New Roman" w:cs="Times New Roman"/>
          <w:sz w:val="20"/>
          <w:szCs w:val="20"/>
        </w:rPr>
        <w:t>In case the GC-</w:t>
      </w:r>
      <w:r w:rsidR="009F7363">
        <w:rPr>
          <w:rFonts w:ascii="Times New Roman" w:hAnsi="Times New Roman" w:cs="Times New Roman"/>
          <w:sz w:val="20"/>
          <w:szCs w:val="20"/>
        </w:rPr>
        <w:t>PDCCH is configured but</w:t>
      </w:r>
      <w:r>
        <w:rPr>
          <w:rFonts w:ascii="Times New Roman" w:hAnsi="Times New Roman" w:cs="Times New Roman"/>
          <w:sz w:val="20"/>
          <w:szCs w:val="20"/>
        </w:rPr>
        <w:t xml:space="preserve"> not received by UE</w:t>
      </w:r>
      <w:r w:rsidR="00A572BF">
        <w:rPr>
          <w:rFonts w:ascii="Times New Roman" w:hAnsi="Times New Roman" w:cs="Times New Roman"/>
          <w:sz w:val="20"/>
          <w:szCs w:val="20"/>
        </w:rPr>
        <w:t>,</w:t>
      </w:r>
      <w:r>
        <w:rPr>
          <w:rFonts w:ascii="Times New Roman" w:hAnsi="Times New Roman" w:cs="Times New Roman"/>
          <w:sz w:val="20"/>
          <w:szCs w:val="20"/>
        </w:rPr>
        <w:t xml:space="preserve"> </w:t>
      </w:r>
      <w:r w:rsidR="00A572BF">
        <w:rPr>
          <w:rFonts w:ascii="Times New Roman" w:hAnsi="Times New Roman" w:cs="Times New Roman"/>
          <w:sz w:val="20"/>
          <w:szCs w:val="20"/>
        </w:rPr>
        <w:t>f</w:t>
      </w:r>
      <w:r>
        <w:rPr>
          <w:rFonts w:ascii="Times New Roman" w:hAnsi="Times New Roman" w:cs="Times New Roman"/>
          <w:sz w:val="20"/>
          <w:szCs w:val="20"/>
        </w:rPr>
        <w:t>rom the frequency domain occupancy point of view, UE has no knowledge about the availability of the LBT bandwidths (and/or carriers). As a consequence, UE has to perform all configured PDCCH monitoring, even over the unoccupied LBT bandwidths. Therefore, although the power saving gain cannot be achieved, the PDCCH decoding would not be affected. On the other hand, for the PDSCH decoding, if the frequency domain resource allocation is with respect to the actually acquired LBT bandwidths, missing the frequency domain occupancy indication can lead to the PDSCH decoding failure. To overcome this, frequency domain occupancy indication can also be sent in the scheduling DCI together with the frequency domain resource allocation.</w:t>
      </w:r>
      <w:r w:rsidR="00A572BF">
        <w:rPr>
          <w:rFonts w:ascii="Times New Roman" w:hAnsi="Times New Roman" w:cs="Times New Roman"/>
          <w:sz w:val="20"/>
          <w:szCs w:val="20"/>
        </w:rPr>
        <w:t xml:space="preserve"> This is similar to the relation between SFI-PDCCH and PDSCH/PUSCH scheduling PDCCH regarding time domain indication</w:t>
      </w:r>
      <w:r w:rsidR="00A24C33">
        <w:rPr>
          <w:rFonts w:ascii="Times New Roman" w:hAnsi="Times New Roman" w:cs="Times New Roman"/>
          <w:sz w:val="20"/>
          <w:szCs w:val="20"/>
        </w:rPr>
        <w:t>, where</w:t>
      </w:r>
      <w:r w:rsidR="00470BA8">
        <w:rPr>
          <w:rFonts w:ascii="Times New Roman" w:hAnsi="Times New Roman" w:cs="Times New Roman"/>
          <w:sz w:val="20"/>
          <w:szCs w:val="20"/>
        </w:rPr>
        <w:t xml:space="preserve"> PDSCH/PUSCH scheduling PDCCH has the priority</w:t>
      </w:r>
      <w:r w:rsidR="00E674EE">
        <w:rPr>
          <w:rFonts w:ascii="Times New Roman" w:hAnsi="Times New Roman" w:cs="Times New Roman"/>
          <w:sz w:val="20"/>
          <w:szCs w:val="20"/>
        </w:rPr>
        <w:t xml:space="preserve"> (i.e. indication in the scheduling PDCCH overwrite the result from SFI-PDCCH)</w:t>
      </w:r>
      <w:r w:rsidR="00470BA8">
        <w:rPr>
          <w:rFonts w:ascii="Times New Roman" w:hAnsi="Times New Roman" w:cs="Times New Roman"/>
          <w:sz w:val="20"/>
          <w:szCs w:val="20"/>
        </w:rPr>
        <w:t>.</w:t>
      </w:r>
      <w:r w:rsidR="00A24C33">
        <w:rPr>
          <w:rFonts w:ascii="Times New Roman" w:hAnsi="Times New Roman" w:cs="Times New Roman"/>
          <w:sz w:val="20"/>
          <w:szCs w:val="20"/>
        </w:rPr>
        <w:t xml:space="preserve"> </w:t>
      </w:r>
    </w:p>
    <w:p w14:paraId="53901C21" w14:textId="2C621F81" w:rsidR="0022168B" w:rsidRDefault="00D02F7A" w:rsidP="000F3343">
      <w:pPr>
        <w:rPr>
          <w:rFonts w:ascii="Times New Roman" w:hAnsi="Times New Roman" w:cs="Times New Roman"/>
          <w:sz w:val="20"/>
          <w:szCs w:val="20"/>
        </w:rPr>
      </w:pPr>
      <w:r>
        <w:rPr>
          <w:rFonts w:ascii="Times New Roman" w:hAnsi="Times New Roman" w:cs="Times New Roman"/>
          <w:b/>
          <w:sz w:val="20"/>
          <w:szCs w:val="20"/>
          <w:lang w:eastAsia="en-US"/>
        </w:rPr>
        <w:t xml:space="preserve">Proposal </w:t>
      </w:r>
      <w:r w:rsidR="006760DC">
        <w:rPr>
          <w:rFonts w:ascii="Times New Roman" w:hAnsi="Times New Roman" w:cs="Times New Roman"/>
          <w:b/>
          <w:sz w:val="20"/>
          <w:szCs w:val="20"/>
          <w:lang w:eastAsia="en-US"/>
        </w:rPr>
        <w:t>4</w:t>
      </w:r>
      <w:r w:rsidRPr="00E666C9">
        <w:rPr>
          <w:rFonts w:ascii="Times New Roman" w:hAnsi="Times New Roman" w:cs="Times New Roman"/>
          <w:b/>
          <w:sz w:val="20"/>
          <w:szCs w:val="20"/>
          <w:lang w:eastAsia="en-US"/>
        </w:rPr>
        <w:t>:</w:t>
      </w:r>
      <w:r>
        <w:rPr>
          <w:rFonts w:ascii="Times New Roman" w:hAnsi="Times New Roman" w:cs="Times New Roman"/>
          <w:b/>
          <w:sz w:val="20"/>
          <w:szCs w:val="20"/>
          <w:lang w:eastAsia="en-US"/>
        </w:rPr>
        <w:t xml:space="preserve"> </w:t>
      </w:r>
      <w:r w:rsidR="009F7363">
        <w:rPr>
          <w:rFonts w:ascii="Times New Roman" w:hAnsi="Times New Roman" w:cs="Times New Roman"/>
          <w:b/>
          <w:sz w:val="20"/>
          <w:szCs w:val="20"/>
          <w:lang w:eastAsia="en-US"/>
        </w:rPr>
        <w:t xml:space="preserve">If GC-PDCCH for frequency domain occupancy is configured but not received by UE, </w:t>
      </w:r>
      <w:r w:rsidR="006A241C">
        <w:rPr>
          <w:rFonts w:ascii="Times New Roman" w:hAnsi="Times New Roman" w:cs="Times New Roman"/>
          <w:b/>
          <w:sz w:val="20"/>
          <w:szCs w:val="20"/>
          <w:lang w:eastAsia="en-US"/>
        </w:rPr>
        <w:t xml:space="preserve">UE monitors </w:t>
      </w:r>
      <w:r w:rsidR="009F7363">
        <w:rPr>
          <w:rFonts w:ascii="Times New Roman" w:hAnsi="Times New Roman" w:cs="Times New Roman"/>
          <w:b/>
          <w:sz w:val="20"/>
          <w:szCs w:val="20"/>
          <w:lang w:eastAsia="en-US"/>
        </w:rPr>
        <w:t>configured PDCCH occasions</w:t>
      </w:r>
      <w:r w:rsidR="006A241C">
        <w:rPr>
          <w:rFonts w:ascii="Times New Roman" w:hAnsi="Times New Roman" w:cs="Times New Roman"/>
          <w:b/>
          <w:sz w:val="20"/>
          <w:szCs w:val="20"/>
          <w:lang w:eastAsia="en-US"/>
        </w:rPr>
        <w:t xml:space="preserve"> </w:t>
      </w:r>
      <w:r w:rsidR="00354A8F">
        <w:rPr>
          <w:rFonts w:ascii="Times New Roman" w:hAnsi="Times New Roman" w:cs="Times New Roman"/>
          <w:b/>
          <w:sz w:val="20"/>
          <w:szCs w:val="20"/>
          <w:lang w:eastAsia="en-US"/>
        </w:rPr>
        <w:t xml:space="preserve">in the all </w:t>
      </w:r>
      <w:r w:rsidR="00C11C01">
        <w:rPr>
          <w:rFonts w:ascii="Times New Roman" w:hAnsi="Times New Roman" w:cs="Times New Roman"/>
          <w:b/>
          <w:sz w:val="20"/>
          <w:szCs w:val="20"/>
          <w:lang w:eastAsia="en-US"/>
        </w:rPr>
        <w:t>non-indicated</w:t>
      </w:r>
      <w:r w:rsidR="00536BFB">
        <w:rPr>
          <w:rFonts w:ascii="Times New Roman" w:hAnsi="Times New Roman" w:cs="Times New Roman"/>
          <w:b/>
          <w:sz w:val="20"/>
          <w:szCs w:val="20"/>
          <w:lang w:eastAsia="en-US"/>
        </w:rPr>
        <w:t xml:space="preserve"> </w:t>
      </w:r>
      <w:r w:rsidR="00354A8F">
        <w:rPr>
          <w:rFonts w:ascii="Times New Roman" w:hAnsi="Times New Roman" w:cs="Times New Roman"/>
          <w:b/>
          <w:sz w:val="20"/>
          <w:szCs w:val="20"/>
          <w:lang w:eastAsia="en-US"/>
        </w:rPr>
        <w:t>LBT bandwidths in the active BWP</w:t>
      </w:r>
      <w:r>
        <w:rPr>
          <w:rFonts w:ascii="Times New Roman" w:hAnsi="Times New Roman" w:cs="Times New Roman"/>
          <w:sz w:val="20"/>
          <w:szCs w:val="20"/>
          <w:lang w:eastAsia="en-US"/>
        </w:rPr>
        <w:t>.</w:t>
      </w:r>
    </w:p>
    <w:p w14:paraId="77ED00B2" w14:textId="68F67FC2" w:rsidR="00855482" w:rsidRPr="00C138FB" w:rsidRDefault="00F469E1" w:rsidP="000F3343">
      <w:pPr>
        <w:rPr>
          <w:rFonts w:ascii="Arial" w:eastAsia="ＭＳ 明朝" w:hAnsi="Arial" w:cs="Arial"/>
          <w:sz w:val="36"/>
          <w:szCs w:val="36"/>
        </w:rPr>
      </w:pPr>
      <w:r>
        <w:rPr>
          <w:rFonts w:ascii="Times New Roman" w:hAnsi="Times New Roman" w:cs="Times New Roman"/>
          <w:sz w:val="20"/>
          <w:szCs w:val="20"/>
        </w:rPr>
        <w:t xml:space="preserve">    </w:t>
      </w:r>
      <w:r w:rsidR="00AC1910">
        <w:rPr>
          <w:rFonts w:ascii="Times New Roman" w:hAnsi="Times New Roman" w:cs="Times New Roman"/>
          <w:sz w:val="20"/>
          <w:szCs w:val="20"/>
        </w:rPr>
        <w:t xml:space="preserve"> </w:t>
      </w:r>
      <w:r w:rsidR="00B83B64" w:rsidRPr="00C138FB">
        <w:rPr>
          <w:rFonts w:ascii="Arial" w:eastAsia="ＭＳ 明朝" w:hAnsi="Arial" w:cs="Arial"/>
          <w:sz w:val="36"/>
          <w:szCs w:val="36"/>
        </w:rPr>
        <w:t xml:space="preserve"> </w:t>
      </w:r>
    </w:p>
    <w:p w14:paraId="48A31E8D" w14:textId="0FC6A9B9" w:rsidR="00415D3C" w:rsidRDefault="00415D3C" w:rsidP="00415D3C">
      <w:pPr>
        <w:pStyle w:val="1"/>
        <w:rPr>
          <w:lang w:val="en-US"/>
        </w:rPr>
      </w:pPr>
      <w:r>
        <w:rPr>
          <w:lang w:val="en-US"/>
        </w:rPr>
        <w:t xml:space="preserve">PDCCH transmission </w:t>
      </w:r>
    </w:p>
    <w:p w14:paraId="569042D4" w14:textId="77777777" w:rsidR="005313D4" w:rsidRDefault="00144A2C" w:rsidP="00E666C9">
      <w:pPr>
        <w:rPr>
          <w:rFonts w:ascii="Times New Roman" w:hAnsi="Times New Roman" w:cs="Times New Roman"/>
          <w:sz w:val="20"/>
          <w:szCs w:val="20"/>
          <w:lang w:eastAsia="en-US"/>
        </w:rPr>
      </w:pPr>
      <w:r w:rsidRPr="00E666C9">
        <w:rPr>
          <w:rFonts w:ascii="Times New Roman" w:hAnsi="Times New Roman" w:cs="Times New Roman"/>
          <w:sz w:val="20"/>
          <w:szCs w:val="20"/>
          <w:lang w:eastAsia="en-US"/>
        </w:rPr>
        <w:t>For the PDCCH</w:t>
      </w:r>
      <w:r>
        <w:rPr>
          <w:rFonts w:ascii="Times New Roman" w:hAnsi="Times New Roman" w:cs="Times New Roman"/>
          <w:sz w:val="20"/>
          <w:szCs w:val="20"/>
          <w:lang w:eastAsia="en-US"/>
        </w:rPr>
        <w:t xml:space="preserve"> </w:t>
      </w:r>
      <w:r w:rsidR="005313D4">
        <w:rPr>
          <w:rFonts w:ascii="Times New Roman" w:hAnsi="Times New Roman" w:cs="Times New Roman"/>
          <w:sz w:val="20"/>
          <w:szCs w:val="20"/>
          <w:lang w:eastAsia="en-US"/>
        </w:rPr>
        <w:t>transmission in single wideband carrier with bandwidth larger than 20 MHz, the following methods have been suggested by companies so far:</w:t>
      </w:r>
    </w:p>
    <w:p w14:paraId="50755207" w14:textId="5F3F948A" w:rsidR="005313D4" w:rsidRDefault="005313D4" w:rsidP="00E666C9">
      <w:pPr>
        <w:pStyle w:val="af7"/>
        <w:numPr>
          <w:ilvl w:val="0"/>
          <w:numId w:val="19"/>
        </w:numPr>
        <w:rPr>
          <w:rFonts w:ascii="Times New Roman" w:hAnsi="Times New Roman" w:cs="Times New Roman"/>
          <w:sz w:val="20"/>
          <w:szCs w:val="20"/>
          <w:lang w:eastAsia="en-US"/>
        </w:rPr>
      </w:pPr>
      <w:r>
        <w:rPr>
          <w:rFonts w:ascii="Times New Roman" w:hAnsi="Times New Roman" w:cs="Times New Roman"/>
          <w:sz w:val="20"/>
          <w:szCs w:val="20"/>
          <w:lang w:eastAsia="en-US"/>
        </w:rPr>
        <w:t xml:space="preserve">Method 1: CORESET configured to be confined within a LBT </w:t>
      </w:r>
      <w:r w:rsidR="00C17E6F">
        <w:rPr>
          <w:rFonts w:ascii="Times New Roman" w:hAnsi="Times New Roman" w:cs="Times New Roman"/>
          <w:sz w:val="20"/>
          <w:szCs w:val="20"/>
          <w:lang w:eastAsia="en-US"/>
        </w:rPr>
        <w:t>bandwidth</w:t>
      </w:r>
    </w:p>
    <w:p w14:paraId="40BF3B46" w14:textId="5C0E58FD" w:rsidR="005313D4" w:rsidRDefault="005313D4" w:rsidP="00E666C9">
      <w:pPr>
        <w:pStyle w:val="af7"/>
        <w:numPr>
          <w:ilvl w:val="1"/>
          <w:numId w:val="19"/>
        </w:numPr>
        <w:rPr>
          <w:rFonts w:ascii="Times New Roman" w:hAnsi="Times New Roman" w:cs="Times New Roman"/>
          <w:sz w:val="20"/>
          <w:szCs w:val="20"/>
          <w:lang w:eastAsia="en-US"/>
        </w:rPr>
      </w:pPr>
      <w:r>
        <w:rPr>
          <w:rFonts w:ascii="Times New Roman" w:hAnsi="Times New Roman" w:cs="Times New Roman"/>
          <w:sz w:val="20"/>
          <w:szCs w:val="20"/>
          <w:lang w:eastAsia="en-US"/>
        </w:rPr>
        <w:t>Note that this could require to increase the number of CORESETs that can be configured for a UE in a BWP</w:t>
      </w:r>
    </w:p>
    <w:p w14:paraId="28F057E3" w14:textId="1BE50B04" w:rsidR="005313D4" w:rsidRDefault="005313D4" w:rsidP="00E666C9">
      <w:pPr>
        <w:pStyle w:val="af7"/>
        <w:numPr>
          <w:ilvl w:val="0"/>
          <w:numId w:val="19"/>
        </w:numPr>
        <w:rPr>
          <w:rFonts w:ascii="Times New Roman" w:hAnsi="Times New Roman" w:cs="Times New Roman"/>
          <w:sz w:val="20"/>
          <w:szCs w:val="20"/>
          <w:lang w:eastAsia="en-US"/>
        </w:rPr>
      </w:pPr>
      <w:r>
        <w:rPr>
          <w:rFonts w:ascii="Times New Roman" w:hAnsi="Times New Roman" w:cs="Times New Roman"/>
          <w:sz w:val="20"/>
          <w:szCs w:val="20"/>
          <w:lang w:eastAsia="en-US"/>
        </w:rPr>
        <w:t xml:space="preserve">Method 2: PDCCH candidate configured to be confined within a LBT </w:t>
      </w:r>
      <w:r w:rsidR="00C17E6F">
        <w:rPr>
          <w:rFonts w:ascii="Times New Roman" w:hAnsi="Times New Roman" w:cs="Times New Roman"/>
          <w:sz w:val="20"/>
          <w:szCs w:val="20"/>
          <w:lang w:eastAsia="en-US"/>
        </w:rPr>
        <w:t>bandwidth</w:t>
      </w:r>
    </w:p>
    <w:p w14:paraId="5369D3EE" w14:textId="4F377776" w:rsidR="00415D3C" w:rsidRDefault="005313D4" w:rsidP="00E666C9">
      <w:pPr>
        <w:pStyle w:val="af7"/>
        <w:numPr>
          <w:ilvl w:val="1"/>
          <w:numId w:val="19"/>
        </w:numPr>
        <w:rPr>
          <w:rFonts w:ascii="Times New Roman" w:hAnsi="Times New Roman" w:cs="Times New Roman"/>
          <w:sz w:val="20"/>
          <w:szCs w:val="20"/>
          <w:lang w:eastAsia="en-US"/>
        </w:rPr>
      </w:pPr>
      <w:r>
        <w:rPr>
          <w:rFonts w:ascii="Times New Roman" w:hAnsi="Times New Roman" w:cs="Times New Roman"/>
          <w:sz w:val="20"/>
          <w:szCs w:val="20"/>
          <w:lang w:eastAsia="en-US"/>
        </w:rPr>
        <w:t xml:space="preserve">Note that this allows CORESET configured to be wider than a LBT </w:t>
      </w:r>
      <w:r w:rsidR="00C17E6F">
        <w:rPr>
          <w:rFonts w:ascii="Times New Roman" w:hAnsi="Times New Roman" w:cs="Times New Roman"/>
          <w:sz w:val="20"/>
          <w:szCs w:val="20"/>
          <w:lang w:eastAsia="en-US"/>
        </w:rPr>
        <w:t>bandwidth</w:t>
      </w:r>
      <w:r>
        <w:rPr>
          <w:rFonts w:ascii="Times New Roman" w:hAnsi="Times New Roman" w:cs="Times New Roman"/>
          <w:sz w:val="20"/>
          <w:szCs w:val="20"/>
          <w:lang w:eastAsia="en-US"/>
        </w:rPr>
        <w:t>, but it may require new CCE/REG mapping/bundling rule and/or modification of PDCCH hashing operation</w:t>
      </w:r>
    </w:p>
    <w:p w14:paraId="275F8562" w14:textId="0D165008" w:rsidR="00C17E6F" w:rsidRDefault="005313D4" w:rsidP="00E666C9">
      <w:pPr>
        <w:rPr>
          <w:rFonts w:ascii="Times New Roman" w:hAnsi="Times New Roman" w:cs="Times New Roman"/>
          <w:b/>
          <w:sz w:val="20"/>
          <w:szCs w:val="20"/>
          <w:lang w:eastAsia="en-US"/>
        </w:rPr>
      </w:pPr>
      <w:r>
        <w:rPr>
          <w:rFonts w:ascii="Times New Roman" w:hAnsi="Times New Roman" w:cs="Times New Roman"/>
          <w:sz w:val="20"/>
          <w:szCs w:val="20"/>
          <w:lang w:eastAsia="en-US"/>
        </w:rPr>
        <w:lastRenderedPageBreak/>
        <w:t xml:space="preserve">Comparing the above two methods, we think method 1 is simpler and requires less standardization effort. The number of CORESETs that can be configured for a UE in method 1 can be </w:t>
      </w:r>
      <w:r w:rsidR="00C17E6F">
        <w:rPr>
          <w:rFonts w:ascii="Times New Roman" w:hAnsi="Times New Roman" w:cs="Times New Roman"/>
          <w:sz w:val="20"/>
          <w:szCs w:val="20"/>
          <w:lang w:eastAsia="en-US"/>
        </w:rPr>
        <w:t xml:space="preserve">further decided. </w:t>
      </w:r>
    </w:p>
    <w:p w14:paraId="252E3490" w14:textId="1FA6CEE2" w:rsidR="00956832" w:rsidRPr="00E666C9" w:rsidRDefault="00956832" w:rsidP="00E666C9">
      <w:pPr>
        <w:rPr>
          <w:rFonts w:ascii="Times New Roman" w:hAnsi="Times New Roman" w:cs="Times New Roman"/>
          <w:sz w:val="20"/>
          <w:szCs w:val="20"/>
          <w:lang w:eastAsia="en-US"/>
        </w:rPr>
      </w:pPr>
      <w:r w:rsidRPr="00E666C9">
        <w:rPr>
          <w:rFonts w:ascii="Times New Roman" w:hAnsi="Times New Roman" w:cs="Times New Roman"/>
          <w:b/>
          <w:sz w:val="20"/>
          <w:szCs w:val="20"/>
          <w:lang w:eastAsia="en-US"/>
        </w:rPr>
        <w:t xml:space="preserve">Proposal </w:t>
      </w:r>
      <w:r w:rsidR="006760DC">
        <w:rPr>
          <w:rFonts w:ascii="Times New Roman" w:hAnsi="Times New Roman" w:cs="Times New Roman"/>
          <w:b/>
          <w:sz w:val="20"/>
          <w:szCs w:val="20"/>
          <w:lang w:eastAsia="en-US"/>
        </w:rPr>
        <w:t>5</w:t>
      </w:r>
      <w:r w:rsidRPr="00E666C9">
        <w:rPr>
          <w:rFonts w:ascii="Times New Roman" w:hAnsi="Times New Roman" w:cs="Times New Roman"/>
          <w:b/>
          <w:sz w:val="20"/>
          <w:szCs w:val="20"/>
          <w:lang w:eastAsia="en-US"/>
        </w:rPr>
        <w:t xml:space="preserve">: For NR-U single wideband carrier operation, each CORESET is confined within a LBT </w:t>
      </w:r>
      <w:r w:rsidR="00C17E6F">
        <w:rPr>
          <w:rFonts w:ascii="Times New Roman" w:hAnsi="Times New Roman" w:cs="Times New Roman"/>
          <w:b/>
          <w:sz w:val="20"/>
          <w:szCs w:val="20"/>
          <w:lang w:eastAsia="en-US"/>
        </w:rPr>
        <w:t>bandwidth</w:t>
      </w:r>
      <w:r w:rsidRPr="00E666C9">
        <w:rPr>
          <w:rFonts w:ascii="Times New Roman" w:hAnsi="Times New Roman" w:cs="Times New Roman"/>
          <w:b/>
          <w:sz w:val="20"/>
          <w:szCs w:val="20"/>
          <w:lang w:eastAsia="en-US"/>
        </w:rPr>
        <w:t>. FFS: the number of CORESETs that can be configured to a UE</w:t>
      </w:r>
      <w:r>
        <w:rPr>
          <w:rFonts w:ascii="Times New Roman" w:hAnsi="Times New Roman" w:cs="Times New Roman"/>
          <w:sz w:val="20"/>
          <w:szCs w:val="20"/>
          <w:lang w:eastAsia="en-US"/>
        </w:rPr>
        <w:t>.</w:t>
      </w:r>
    </w:p>
    <w:p w14:paraId="42FC13BF" w14:textId="77777777" w:rsidR="00415D3C" w:rsidRPr="000F3343" w:rsidRDefault="00415D3C" w:rsidP="000F3343"/>
    <w:p w14:paraId="71100277" w14:textId="2377335C" w:rsidR="00270D24" w:rsidRPr="00DC33E4" w:rsidRDefault="00270D24" w:rsidP="00270D24">
      <w:pPr>
        <w:pStyle w:val="1"/>
        <w:rPr>
          <w:lang w:val="en-US"/>
        </w:rPr>
      </w:pPr>
      <w:r>
        <w:rPr>
          <w:lang w:val="en-US"/>
        </w:rPr>
        <w:t xml:space="preserve">PDSCH transmission </w:t>
      </w:r>
    </w:p>
    <w:p w14:paraId="183153B4" w14:textId="5EDE47B3" w:rsidR="00E32C7B" w:rsidRDefault="000F3343" w:rsidP="001632FD">
      <w:pPr>
        <w:pStyle w:val="ab"/>
        <w:rPr>
          <w:rFonts w:ascii="Times New Roman" w:hAnsi="Times New Roman" w:cs="Times New Roman"/>
          <w:sz w:val="20"/>
          <w:szCs w:val="20"/>
          <w:lang w:eastAsia="en-US"/>
        </w:rPr>
      </w:pPr>
      <w:r w:rsidRPr="000F3343">
        <w:rPr>
          <w:rFonts w:ascii="Times New Roman" w:hAnsi="Times New Roman" w:cs="Times New Roman"/>
          <w:sz w:val="20"/>
          <w:szCs w:val="20"/>
          <w:lang w:eastAsia="en-US"/>
        </w:rPr>
        <w:t xml:space="preserve">For PDSCH </w:t>
      </w:r>
      <w:r>
        <w:rPr>
          <w:rFonts w:ascii="Times New Roman" w:hAnsi="Times New Roman" w:cs="Times New Roman"/>
          <w:sz w:val="20"/>
          <w:szCs w:val="20"/>
          <w:lang w:eastAsia="en-US"/>
        </w:rPr>
        <w:t xml:space="preserve">transmission in wideband operation, in order to cope with the situation where a certain LBT </w:t>
      </w:r>
      <w:r w:rsidR="00C17E6F">
        <w:rPr>
          <w:rFonts w:ascii="Times New Roman" w:hAnsi="Times New Roman" w:cs="Times New Roman"/>
          <w:sz w:val="20"/>
          <w:szCs w:val="20"/>
          <w:lang w:eastAsia="en-US"/>
        </w:rPr>
        <w:t>bandwidth</w:t>
      </w:r>
      <w:r>
        <w:rPr>
          <w:rFonts w:ascii="Times New Roman" w:hAnsi="Times New Roman" w:cs="Times New Roman"/>
          <w:sz w:val="20"/>
          <w:szCs w:val="20"/>
          <w:lang w:eastAsia="en-US"/>
        </w:rPr>
        <w:t xml:space="preserve"> within the UE active BWP fails the CCA, some options </w:t>
      </w:r>
      <w:r w:rsidR="00C17E6F">
        <w:rPr>
          <w:rFonts w:ascii="Times New Roman" w:hAnsi="Times New Roman" w:cs="Times New Roman"/>
          <w:sz w:val="20"/>
          <w:szCs w:val="20"/>
          <w:lang w:eastAsia="en-US"/>
        </w:rPr>
        <w:t>were</w:t>
      </w:r>
      <w:r>
        <w:rPr>
          <w:rFonts w:ascii="Times New Roman" w:hAnsi="Times New Roman" w:cs="Times New Roman"/>
          <w:sz w:val="20"/>
          <w:szCs w:val="20"/>
          <w:lang w:eastAsia="en-US"/>
        </w:rPr>
        <w:t xml:space="preserve"> identified</w:t>
      </w:r>
      <w:r w:rsidR="00C17E6F">
        <w:rPr>
          <w:rFonts w:ascii="Times New Roman" w:hAnsi="Times New Roman" w:cs="Times New Roman"/>
          <w:sz w:val="20"/>
          <w:szCs w:val="20"/>
          <w:lang w:eastAsia="en-US"/>
        </w:rPr>
        <w:t xml:space="preserve"> previously</w:t>
      </w:r>
      <w:r>
        <w:rPr>
          <w:rFonts w:ascii="Times New Roman" w:hAnsi="Times New Roman" w:cs="Times New Roman"/>
          <w:sz w:val="20"/>
          <w:szCs w:val="20"/>
          <w:lang w:eastAsia="en-US"/>
        </w:rPr>
        <w:t>:</w:t>
      </w:r>
    </w:p>
    <w:p w14:paraId="69185CC1" w14:textId="7E239794" w:rsidR="00E83BE0" w:rsidRDefault="00E83BE0" w:rsidP="00E83BE0">
      <w:pPr>
        <w:numPr>
          <w:ilvl w:val="0"/>
          <w:numId w:val="13"/>
        </w:numPr>
        <w:spacing w:before="120" w:after="120"/>
        <w:ind w:left="1020"/>
        <w:rPr>
          <w:rFonts w:ascii="Times New Roman" w:hAnsi="Times New Roman" w:cs="Times New Roman"/>
          <w:sz w:val="20"/>
          <w:szCs w:val="20"/>
          <w:lang w:eastAsia="en-US"/>
        </w:rPr>
      </w:pPr>
      <w:r>
        <w:rPr>
          <w:rFonts w:ascii="Times New Roman" w:hAnsi="Times New Roman" w:cs="Times New Roman"/>
          <w:sz w:val="20"/>
          <w:szCs w:val="20"/>
          <w:lang w:eastAsia="en-US"/>
        </w:rPr>
        <w:t xml:space="preserve">Option 1: </w:t>
      </w:r>
      <w:r w:rsidRPr="006A2E86">
        <w:rPr>
          <w:rFonts w:ascii="Times New Roman" w:hAnsi="Times New Roman" w:cs="Times New Roman"/>
          <w:sz w:val="20"/>
          <w:szCs w:val="20"/>
          <w:lang w:eastAsia="en-US"/>
        </w:rPr>
        <w:t xml:space="preserve">Each PDSCH is contained within a LBT </w:t>
      </w:r>
      <w:r w:rsidR="00C17E6F">
        <w:rPr>
          <w:rFonts w:ascii="Times New Roman" w:hAnsi="Times New Roman" w:cs="Times New Roman"/>
          <w:sz w:val="20"/>
          <w:szCs w:val="20"/>
          <w:lang w:eastAsia="en-US"/>
        </w:rPr>
        <w:t>bandwidth</w:t>
      </w:r>
      <w:r w:rsidRPr="006A2E86">
        <w:rPr>
          <w:rFonts w:ascii="Times New Roman" w:hAnsi="Times New Roman" w:cs="Times New Roman"/>
          <w:sz w:val="20"/>
          <w:szCs w:val="20"/>
          <w:lang w:eastAsia="en-US"/>
        </w:rPr>
        <w:t>.</w:t>
      </w:r>
    </w:p>
    <w:p w14:paraId="04F76DA4" w14:textId="76BD8A1C" w:rsidR="00E83BE0" w:rsidRPr="006A2E86" w:rsidRDefault="00E83BE0" w:rsidP="00E83BE0">
      <w:pPr>
        <w:numPr>
          <w:ilvl w:val="0"/>
          <w:numId w:val="13"/>
        </w:numPr>
        <w:spacing w:before="120" w:after="120"/>
        <w:ind w:left="1020"/>
        <w:rPr>
          <w:rFonts w:ascii="Times New Roman" w:hAnsi="Times New Roman" w:cs="Times New Roman"/>
          <w:sz w:val="20"/>
          <w:szCs w:val="20"/>
          <w:lang w:eastAsia="en-US"/>
        </w:rPr>
      </w:pPr>
      <w:r w:rsidRPr="006A2E86">
        <w:rPr>
          <w:rFonts w:ascii="Times New Roman" w:hAnsi="Times New Roman" w:cs="Times New Roman"/>
          <w:sz w:val="20"/>
          <w:szCs w:val="20"/>
          <w:lang w:eastAsia="en-US"/>
        </w:rPr>
        <w:t xml:space="preserve">Option 2: PDSCH can be spanned over multiple LBT </w:t>
      </w:r>
      <w:r w:rsidR="00C17E6F">
        <w:rPr>
          <w:rFonts w:ascii="Times New Roman" w:hAnsi="Times New Roman" w:cs="Times New Roman"/>
          <w:sz w:val="20"/>
          <w:szCs w:val="20"/>
          <w:lang w:eastAsia="en-US"/>
        </w:rPr>
        <w:t>bandwidth</w:t>
      </w:r>
      <w:r w:rsidRPr="006A2E86">
        <w:rPr>
          <w:rFonts w:ascii="Times New Roman" w:hAnsi="Times New Roman" w:cs="Times New Roman"/>
          <w:sz w:val="20"/>
          <w:szCs w:val="20"/>
          <w:lang w:eastAsia="en-US"/>
        </w:rPr>
        <w:t xml:space="preserve">s and the part of PDSCH is punctured if some of LBT </w:t>
      </w:r>
      <w:r w:rsidR="00C17E6F">
        <w:rPr>
          <w:rFonts w:ascii="Times New Roman" w:hAnsi="Times New Roman" w:cs="Times New Roman"/>
          <w:sz w:val="20"/>
          <w:szCs w:val="20"/>
          <w:lang w:eastAsia="en-US"/>
        </w:rPr>
        <w:t>bandwidth</w:t>
      </w:r>
      <w:r w:rsidRPr="006A2E86">
        <w:rPr>
          <w:rFonts w:ascii="Times New Roman" w:hAnsi="Times New Roman" w:cs="Times New Roman"/>
          <w:sz w:val="20"/>
          <w:szCs w:val="20"/>
          <w:lang w:eastAsia="en-US"/>
        </w:rPr>
        <w:t>s including PDSCH are not transmitted due to LBT failure at gNB</w:t>
      </w:r>
    </w:p>
    <w:p w14:paraId="67E42D0A" w14:textId="2CA2CAEB" w:rsidR="00E83BE0" w:rsidRDefault="00E83BE0" w:rsidP="00E83BE0">
      <w:pPr>
        <w:numPr>
          <w:ilvl w:val="0"/>
          <w:numId w:val="13"/>
        </w:numPr>
        <w:spacing w:before="120" w:after="120"/>
        <w:ind w:left="1020"/>
        <w:rPr>
          <w:rFonts w:ascii="Times New Roman" w:hAnsi="Times New Roman" w:cs="Times New Roman"/>
          <w:sz w:val="20"/>
          <w:szCs w:val="20"/>
          <w:lang w:eastAsia="en-US"/>
        </w:rPr>
      </w:pPr>
      <w:r w:rsidRPr="006A2E86">
        <w:rPr>
          <w:rFonts w:ascii="Times New Roman" w:hAnsi="Times New Roman" w:cs="Times New Roman"/>
          <w:sz w:val="20"/>
          <w:szCs w:val="20"/>
          <w:lang w:eastAsia="en-US"/>
        </w:rPr>
        <w:t>Option 3: gNB prepares for multiple sets of PDSCH mappings and selects one of them depending on LBT outcome</w:t>
      </w:r>
    </w:p>
    <w:p w14:paraId="3EF1E5F5" w14:textId="4FEE405C" w:rsidR="002573E8" w:rsidRDefault="00C17E6F" w:rsidP="006F4E7C">
      <w:pPr>
        <w:rPr>
          <w:rFonts w:ascii="Times New Roman" w:hAnsi="Times New Roman" w:cs="Times New Roman"/>
          <w:sz w:val="20"/>
          <w:szCs w:val="20"/>
        </w:rPr>
      </w:pPr>
      <w:r>
        <w:rPr>
          <w:rFonts w:ascii="Times New Roman" w:hAnsi="Times New Roman" w:cs="Times New Roman"/>
          <w:sz w:val="20"/>
          <w:szCs w:val="20"/>
          <w:lang w:eastAsia="en-US"/>
        </w:rPr>
        <w:t xml:space="preserve">In RAN1#97, </w:t>
      </w:r>
      <w:r w:rsidR="000377F2">
        <w:rPr>
          <w:rFonts w:ascii="Times New Roman" w:hAnsi="Times New Roman" w:cs="Times New Roman"/>
          <w:sz w:val="20"/>
          <w:szCs w:val="20"/>
          <w:lang w:eastAsia="en-US"/>
        </w:rPr>
        <w:t>a conclusion has been reached: “</w:t>
      </w:r>
      <w:r w:rsidR="000377F2" w:rsidRPr="000377F2">
        <w:rPr>
          <w:rFonts w:ascii="Times New Roman" w:hAnsi="Times New Roman" w:cs="Times New Roman"/>
          <w:sz w:val="20"/>
          <w:szCs w:val="20"/>
          <w:lang w:eastAsia="en-US"/>
        </w:rPr>
        <w:t>A UE can receive a PDSCH scheduled within an LBT bandwidth or over multiple LBT bandwidths as per Rel-15 and current agreements in Rel-16.</w:t>
      </w:r>
      <w:r w:rsidR="000377F2">
        <w:rPr>
          <w:rFonts w:ascii="Times New Roman" w:hAnsi="Times New Roman" w:cs="Times New Roman"/>
          <w:sz w:val="20"/>
          <w:szCs w:val="20"/>
          <w:lang w:eastAsia="en-US"/>
        </w:rPr>
        <w:t xml:space="preserve">” In the same meeting, whether to support “new PDSCH mapping mechanism to enable recovery of the punctured PDSCH when a PDSCH is mapped over multiple LBT bandwidths and a part of the PDSCH is punctured due to the LBT failure” was discussed, but eventually not agreed. </w:t>
      </w:r>
      <w:r w:rsidR="004F1D42">
        <w:rPr>
          <w:rFonts w:ascii="Times New Roman" w:hAnsi="Times New Roman" w:cs="Times New Roman"/>
          <w:sz w:val="20"/>
          <w:szCs w:val="20"/>
          <w:lang w:eastAsia="en-US"/>
        </w:rPr>
        <w:t xml:space="preserve">The understanding has been that the puncturing may only be needed for the first PDSCH in the DL burst but not the rest of the COT since </w:t>
      </w:r>
      <w:r w:rsidR="006B4091">
        <w:rPr>
          <w:rFonts w:ascii="Times New Roman" w:hAnsi="Times New Roman" w:cs="Times New Roman"/>
          <w:sz w:val="20"/>
          <w:szCs w:val="20"/>
          <w:lang w:eastAsia="en-US"/>
        </w:rPr>
        <w:t xml:space="preserve">gNB has enough time to prepare PDSCH according to the LBT outcome. Moreover, even for the first slot of DL burst, puncturing can be avoided by gNB implementation, e.g. confining each PDSCH from different UE within </w:t>
      </w:r>
      <w:r w:rsidR="006B4091">
        <w:rPr>
          <w:rFonts w:ascii="Times New Roman" w:hAnsi="Times New Roman" w:cs="Times New Roman"/>
          <w:sz w:val="20"/>
          <w:szCs w:val="20"/>
        </w:rPr>
        <w:t xml:space="preserve">one LBT bandwidth (FDMed PDSCH), or preparing multiple version of PDSCH corresponding to different LBT outcomes. </w:t>
      </w:r>
      <w:r w:rsidR="00A92ACF">
        <w:rPr>
          <w:rFonts w:ascii="Times New Roman" w:hAnsi="Times New Roman" w:cs="Times New Roman"/>
          <w:sz w:val="20"/>
          <w:szCs w:val="20"/>
        </w:rPr>
        <w:t xml:space="preserve">Therefore, considering only 3 meetings left to complete Rel-16, it is regarded as a reasonable compromise. </w:t>
      </w:r>
    </w:p>
    <w:p w14:paraId="7663F153" w14:textId="295283EC" w:rsidR="00E072F4" w:rsidRDefault="002573E8" w:rsidP="006F4E7C">
      <w:pPr>
        <w:rPr>
          <w:rFonts w:ascii="Times New Roman" w:hAnsi="Times New Roman" w:cs="Times New Roman"/>
          <w:sz w:val="20"/>
          <w:szCs w:val="20"/>
        </w:rPr>
      </w:pPr>
      <w:r>
        <w:rPr>
          <w:rFonts w:ascii="Times New Roman" w:hAnsi="Times New Roman" w:cs="Times New Roman"/>
          <w:sz w:val="20"/>
          <w:szCs w:val="20"/>
        </w:rPr>
        <w:t xml:space="preserve">However, it remains to be specified how to handle the guard band between two adjacent LBT bandwidths for PDSCH transmission in our opinion. </w:t>
      </w:r>
      <w:r w:rsidR="005D3382">
        <w:rPr>
          <w:rFonts w:ascii="Times New Roman" w:hAnsi="Times New Roman" w:cs="Times New Roman"/>
          <w:sz w:val="20"/>
          <w:szCs w:val="20"/>
        </w:rPr>
        <w:t xml:space="preserve">Guard bands are needed to compensate the RF leakage from and into the LBT bandwidths where LBT fails (e.g. occupied by competing system). Depending on the amount of guard band and resource allocation granularity, it may not be sufficient to generate the guard band by only the frequency domain resource assignment itself. </w:t>
      </w:r>
      <w:r w:rsidR="00E072F4">
        <w:rPr>
          <w:rFonts w:ascii="Times New Roman" w:hAnsi="Times New Roman" w:cs="Times New Roman"/>
          <w:sz w:val="20"/>
          <w:szCs w:val="20"/>
        </w:rPr>
        <w:t xml:space="preserve">One option is to have static guard bands at the edges of each LBT bandwidth, regardless of whether one PDSCH is scheduled across multiple contiguous LBT bandwidths. </w:t>
      </w:r>
      <w:r w:rsidR="00F310A0">
        <w:rPr>
          <w:rFonts w:ascii="Times New Roman" w:hAnsi="Times New Roman" w:cs="Times New Roman"/>
          <w:sz w:val="20"/>
          <w:szCs w:val="20"/>
        </w:rPr>
        <w:t xml:space="preserve">Fig.3 illustrates one such example. </w:t>
      </w:r>
      <w:r w:rsidR="00E072F4">
        <w:rPr>
          <w:rFonts w:ascii="Times New Roman" w:hAnsi="Times New Roman" w:cs="Times New Roman"/>
          <w:sz w:val="20"/>
          <w:szCs w:val="20"/>
        </w:rPr>
        <w:t>Another option to configure dynamic guard band only at the outer edges of the union of LBT bandwidths acquired by the gNB.</w:t>
      </w:r>
      <w:r w:rsidR="00F310A0">
        <w:rPr>
          <w:rFonts w:ascii="Times New Roman" w:hAnsi="Times New Roman" w:cs="Times New Roman"/>
          <w:sz w:val="20"/>
          <w:szCs w:val="20"/>
        </w:rPr>
        <w:t xml:space="preserve"> Please see Fig.4 for an example.</w:t>
      </w:r>
      <w:r w:rsidR="00E072F4">
        <w:rPr>
          <w:rFonts w:ascii="Times New Roman" w:hAnsi="Times New Roman" w:cs="Times New Roman"/>
          <w:sz w:val="20"/>
          <w:szCs w:val="20"/>
        </w:rPr>
        <w:t xml:space="preserve"> For the first option, the frequency resource utilization is compromised because those static guard bands can never be scheduled by gNB.</w:t>
      </w:r>
      <w:r w:rsidR="00720105">
        <w:rPr>
          <w:rFonts w:ascii="Times New Roman" w:hAnsi="Times New Roman" w:cs="Times New Roman"/>
          <w:sz w:val="20"/>
          <w:szCs w:val="20"/>
        </w:rPr>
        <w:t xml:space="preserve"> For the second option, frequency domain occupancy indication can be used as a guard band enabler. Once UE knows which LBT bandwidths are available and unavailable, the presence of the guard band will be known to the UE. Currently, RAN4 is still discussing the guard band related issues for the wideband carrier operation. As mentioned in RAN4 reply LS (R1-1905930), RAN4 needs more study on the filter adaption time if PRBs within the guard band of two contiguous LBT bandwidths are scheduled by gNB. RAN1 can come back to such issue once more feedback from RAN4 is received. </w:t>
      </w:r>
      <w:r w:rsidR="00E072F4">
        <w:rPr>
          <w:rFonts w:ascii="Times New Roman" w:hAnsi="Times New Roman" w:cs="Times New Roman"/>
          <w:sz w:val="20"/>
          <w:szCs w:val="20"/>
        </w:rPr>
        <w:t xml:space="preserve">  </w:t>
      </w:r>
    </w:p>
    <w:p w14:paraId="14941174" w14:textId="609E4827" w:rsidR="006358D5" w:rsidRPr="009913E0" w:rsidRDefault="006358D5" w:rsidP="006F4E7C">
      <w:pPr>
        <w:rPr>
          <w:rFonts w:ascii="Times New Roman" w:hAnsi="Times New Roman" w:cs="Times New Roman"/>
          <w:b/>
          <w:sz w:val="20"/>
          <w:szCs w:val="20"/>
        </w:rPr>
      </w:pPr>
      <w:r w:rsidRPr="009913E0">
        <w:rPr>
          <w:rFonts w:ascii="Times New Roman" w:hAnsi="Times New Roman" w:cs="Times New Roman"/>
          <w:b/>
          <w:sz w:val="20"/>
          <w:szCs w:val="20"/>
        </w:rPr>
        <w:t>Proposal 6:</w:t>
      </w:r>
      <w:r w:rsidR="009913E0">
        <w:rPr>
          <w:rFonts w:ascii="Times New Roman" w:hAnsi="Times New Roman" w:cs="Times New Roman"/>
          <w:b/>
          <w:sz w:val="20"/>
          <w:szCs w:val="20"/>
        </w:rPr>
        <w:t xml:space="preserve"> </w:t>
      </w:r>
      <w:r w:rsidR="003F197C">
        <w:rPr>
          <w:rFonts w:ascii="Times New Roman" w:hAnsi="Times New Roman" w:cs="Times New Roman"/>
          <w:b/>
          <w:sz w:val="20"/>
          <w:szCs w:val="20"/>
        </w:rPr>
        <w:t>RAN1 further studies the impact of guard band on frequency domain resource allocation</w:t>
      </w:r>
      <w:r w:rsidR="00D1108E">
        <w:rPr>
          <w:rFonts w:ascii="Times New Roman" w:hAnsi="Times New Roman" w:cs="Times New Roman"/>
          <w:b/>
          <w:sz w:val="20"/>
          <w:szCs w:val="20"/>
        </w:rPr>
        <w:t>.</w:t>
      </w:r>
    </w:p>
    <w:p w14:paraId="568F37EE" w14:textId="4B83EF25" w:rsidR="00E072F4" w:rsidRDefault="00277453" w:rsidP="006F4E7C">
      <w:pPr>
        <w:rPr>
          <w:rFonts w:ascii="Times New Roman" w:hAnsi="Times New Roman" w:cs="Times New Roman"/>
          <w:sz w:val="20"/>
          <w:szCs w:val="20"/>
        </w:rPr>
      </w:pPr>
      <w:r>
        <w:rPr>
          <w:rFonts w:ascii="Times New Roman" w:hAnsi="Times New Roman" w:cs="Times New Roman"/>
          <w:noProof/>
          <w:sz w:val="20"/>
          <w:szCs w:val="20"/>
        </w:rPr>
        <w:lastRenderedPageBreak/>
        <w:drawing>
          <wp:inline distT="0" distB="0" distL="0" distR="0" wp14:anchorId="1F14BABC" wp14:editId="1FE66186">
            <wp:extent cx="5849457" cy="3803114"/>
            <wp:effectExtent l="0" t="0" r="0" b="698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60215" cy="3810108"/>
                    </a:xfrm>
                    <a:prstGeom prst="rect">
                      <a:avLst/>
                    </a:prstGeom>
                    <a:noFill/>
                  </pic:spPr>
                </pic:pic>
              </a:graphicData>
            </a:graphic>
          </wp:inline>
        </w:drawing>
      </w:r>
    </w:p>
    <w:p w14:paraId="7C4F6E90" w14:textId="739C2601" w:rsidR="003D5C6F" w:rsidRPr="00880D3E" w:rsidRDefault="00FB4589" w:rsidP="00880D3E">
      <w:pPr>
        <w:spacing w:before="120" w:after="120"/>
        <w:rPr>
          <w:rFonts w:ascii="Times New Roman" w:hAnsi="Times New Roman" w:cs="Times New Roman"/>
          <w:sz w:val="20"/>
          <w:szCs w:val="20"/>
          <w:lang w:eastAsia="en-US"/>
        </w:rPr>
      </w:pPr>
      <w:r>
        <w:rPr>
          <w:rFonts w:ascii="Times New Roman" w:hAnsi="Times New Roman" w:cs="Times New Roman"/>
          <w:sz w:val="20"/>
          <w:szCs w:val="20"/>
          <w:lang w:eastAsia="en-US"/>
        </w:rPr>
        <w:t xml:space="preserve"> </w:t>
      </w:r>
      <w:r w:rsidR="002E53A4">
        <w:rPr>
          <w:rFonts w:ascii="Times New Roman" w:hAnsi="Times New Roman" w:cs="Times New Roman"/>
          <w:sz w:val="20"/>
          <w:szCs w:val="20"/>
          <w:lang w:eastAsia="en-US"/>
        </w:rPr>
        <w:t xml:space="preserve"> </w:t>
      </w:r>
      <w:r w:rsidR="0053355A">
        <w:rPr>
          <w:rFonts w:ascii="Times New Roman" w:hAnsi="Times New Roman" w:cs="Times New Roman"/>
          <w:sz w:val="20"/>
          <w:szCs w:val="20"/>
          <w:lang w:eastAsia="en-US"/>
        </w:rPr>
        <w:t xml:space="preserve">   </w:t>
      </w:r>
      <w:r w:rsidR="003D5C6F">
        <w:rPr>
          <w:rFonts w:ascii="Times New Roman" w:hAnsi="Times New Roman" w:cs="Times New Roman"/>
          <w:sz w:val="20"/>
          <w:szCs w:val="20"/>
          <w:lang w:eastAsia="en-US"/>
        </w:rPr>
        <w:t xml:space="preserve"> </w:t>
      </w:r>
      <w:r w:rsidR="00277453">
        <w:rPr>
          <w:rFonts w:ascii="Times New Roman" w:hAnsi="Times New Roman" w:cs="Times New Roman"/>
          <w:sz w:val="20"/>
          <w:szCs w:val="20"/>
          <w:lang w:eastAsia="en-US"/>
        </w:rPr>
        <w:t xml:space="preserve">Fig.3  Static guard band </w:t>
      </w:r>
      <w:r w:rsidR="00277453">
        <w:rPr>
          <w:rFonts w:ascii="Times New Roman" w:hAnsi="Times New Roman" w:cs="Times New Roman"/>
          <w:sz w:val="20"/>
          <w:szCs w:val="20"/>
          <w:lang w:eastAsia="en-US"/>
        </w:rPr>
        <w:tab/>
      </w:r>
      <w:r w:rsidR="00277453">
        <w:rPr>
          <w:rFonts w:ascii="Times New Roman" w:hAnsi="Times New Roman" w:cs="Times New Roman"/>
          <w:sz w:val="20"/>
          <w:szCs w:val="20"/>
          <w:lang w:eastAsia="en-US"/>
        </w:rPr>
        <w:tab/>
      </w:r>
      <w:r w:rsidR="00277453">
        <w:rPr>
          <w:rFonts w:ascii="Times New Roman" w:hAnsi="Times New Roman" w:cs="Times New Roman"/>
          <w:sz w:val="20"/>
          <w:szCs w:val="20"/>
          <w:lang w:eastAsia="en-US"/>
        </w:rPr>
        <w:tab/>
      </w:r>
      <w:r w:rsidR="00277453">
        <w:rPr>
          <w:rFonts w:ascii="Times New Roman" w:hAnsi="Times New Roman" w:cs="Times New Roman"/>
          <w:sz w:val="20"/>
          <w:szCs w:val="20"/>
          <w:lang w:eastAsia="en-US"/>
        </w:rPr>
        <w:tab/>
      </w:r>
      <w:r w:rsidR="00277453">
        <w:rPr>
          <w:rFonts w:ascii="Times New Roman" w:hAnsi="Times New Roman" w:cs="Times New Roman"/>
          <w:sz w:val="20"/>
          <w:szCs w:val="20"/>
          <w:lang w:eastAsia="en-US"/>
        </w:rPr>
        <w:tab/>
      </w:r>
      <w:r w:rsidR="00277453">
        <w:rPr>
          <w:rFonts w:ascii="Times New Roman" w:hAnsi="Times New Roman" w:cs="Times New Roman"/>
          <w:sz w:val="20"/>
          <w:szCs w:val="20"/>
          <w:lang w:eastAsia="en-US"/>
        </w:rPr>
        <w:tab/>
      </w:r>
      <w:r w:rsidR="00277453">
        <w:rPr>
          <w:rFonts w:ascii="Times New Roman" w:hAnsi="Times New Roman" w:cs="Times New Roman"/>
          <w:sz w:val="20"/>
          <w:szCs w:val="20"/>
          <w:lang w:eastAsia="en-US"/>
        </w:rPr>
        <w:tab/>
        <w:t>Fig.4  Dynamic guard band</w:t>
      </w:r>
    </w:p>
    <w:p w14:paraId="715F2328" w14:textId="77777777" w:rsidR="000F3343" w:rsidRPr="00880D3E" w:rsidRDefault="000F3343" w:rsidP="001632FD">
      <w:pPr>
        <w:pStyle w:val="ab"/>
        <w:rPr>
          <w:rFonts w:ascii="Times New Roman" w:hAnsi="Times New Roman" w:cs="Times New Roman"/>
          <w:sz w:val="20"/>
          <w:szCs w:val="20"/>
          <w:lang w:eastAsia="en-US"/>
        </w:rPr>
      </w:pPr>
    </w:p>
    <w:p w14:paraId="357BA1E3" w14:textId="3E09A0E6" w:rsidR="004B155E" w:rsidRPr="00DC33E4" w:rsidRDefault="004B155E" w:rsidP="004B155E">
      <w:pPr>
        <w:pStyle w:val="1"/>
        <w:rPr>
          <w:lang w:val="en-US"/>
        </w:rPr>
      </w:pPr>
      <w:r>
        <w:rPr>
          <w:lang w:val="en-US"/>
        </w:rPr>
        <w:t>Conclusion</w:t>
      </w:r>
    </w:p>
    <w:p w14:paraId="4B4C258C" w14:textId="6FCAC089" w:rsidR="004B155E" w:rsidRDefault="004B155E" w:rsidP="004B155E">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Based on the discussion, we </w:t>
      </w:r>
      <w:r w:rsidR="00A35130">
        <w:rPr>
          <w:rFonts w:ascii="Times New Roman" w:hAnsi="Times New Roman" w:cs="Times New Roman"/>
          <w:b w:val="0"/>
          <w:bCs w:val="0"/>
          <w:sz w:val="20"/>
          <w:szCs w:val="20"/>
          <w:lang w:eastAsia="en-US"/>
        </w:rPr>
        <w:t xml:space="preserve">have the following </w:t>
      </w:r>
      <w:r w:rsidR="00BB3E6E">
        <w:rPr>
          <w:rFonts w:ascii="Times New Roman" w:hAnsi="Times New Roman" w:cs="Times New Roman"/>
          <w:b w:val="0"/>
          <w:bCs w:val="0"/>
          <w:sz w:val="20"/>
          <w:szCs w:val="20"/>
          <w:lang w:eastAsia="en-US"/>
        </w:rPr>
        <w:t>proposal</w:t>
      </w:r>
      <w:r w:rsidR="00A35130">
        <w:rPr>
          <w:rFonts w:ascii="Times New Roman" w:hAnsi="Times New Roman" w:cs="Times New Roman"/>
          <w:b w:val="0"/>
          <w:bCs w:val="0"/>
          <w:sz w:val="20"/>
          <w:szCs w:val="20"/>
          <w:lang w:eastAsia="en-US"/>
        </w:rPr>
        <w:t>:</w:t>
      </w:r>
      <w:r>
        <w:rPr>
          <w:rFonts w:ascii="Times New Roman" w:hAnsi="Times New Roman" w:cs="Times New Roman"/>
          <w:b w:val="0"/>
          <w:bCs w:val="0"/>
          <w:sz w:val="20"/>
          <w:szCs w:val="20"/>
          <w:lang w:eastAsia="en-US"/>
        </w:rPr>
        <w:t xml:space="preserve"> </w:t>
      </w:r>
    </w:p>
    <w:p w14:paraId="45AC7EF5" w14:textId="11568F51" w:rsidR="006008AA" w:rsidRPr="005C35EA" w:rsidRDefault="006008AA" w:rsidP="006008AA">
      <w:pPr>
        <w:rPr>
          <w:rFonts w:ascii="Times New Roman" w:hAnsi="Times New Roman" w:cs="Times New Roman"/>
          <w:b/>
          <w:sz w:val="20"/>
          <w:szCs w:val="20"/>
        </w:rPr>
      </w:pPr>
      <w:r w:rsidRPr="005C35EA">
        <w:rPr>
          <w:rFonts w:ascii="Times New Roman" w:hAnsi="Times New Roman" w:cs="Times New Roman"/>
          <w:b/>
          <w:sz w:val="20"/>
          <w:szCs w:val="20"/>
        </w:rPr>
        <w:t>Proposal 1: Frequency domain occupancy indication can be updated within a channel occupancy time.</w:t>
      </w:r>
    </w:p>
    <w:p w14:paraId="42DB26A1" w14:textId="44C6C879" w:rsidR="006008AA" w:rsidRDefault="006008AA" w:rsidP="006008AA">
      <w:pPr>
        <w:rPr>
          <w:rFonts w:ascii="Times New Roman" w:hAnsi="Times New Roman" w:cs="Times New Roman"/>
          <w:sz w:val="20"/>
          <w:szCs w:val="20"/>
          <w:lang w:eastAsia="en-US"/>
        </w:rPr>
      </w:pPr>
      <w:r>
        <w:rPr>
          <w:rFonts w:ascii="Times New Roman" w:hAnsi="Times New Roman" w:cs="Times New Roman"/>
          <w:b/>
          <w:sz w:val="20"/>
          <w:szCs w:val="20"/>
          <w:lang w:eastAsia="en-US"/>
        </w:rPr>
        <w:t>Proposal 2</w:t>
      </w:r>
      <w:r w:rsidRPr="00E666C9">
        <w:rPr>
          <w:rFonts w:ascii="Times New Roman" w:hAnsi="Times New Roman" w:cs="Times New Roman"/>
          <w:b/>
          <w:sz w:val="20"/>
          <w:szCs w:val="20"/>
          <w:lang w:eastAsia="en-US"/>
        </w:rPr>
        <w:t>:</w:t>
      </w:r>
      <w:r>
        <w:rPr>
          <w:rFonts w:ascii="Times New Roman" w:hAnsi="Times New Roman" w:cs="Times New Roman"/>
          <w:b/>
          <w:sz w:val="20"/>
          <w:szCs w:val="20"/>
          <w:lang w:eastAsia="en-US"/>
        </w:rPr>
        <w:t xml:space="preserve"> Frequency domain occupancy indication has a dedicated field which is separate from the time domain structure indication</w:t>
      </w:r>
      <w:r>
        <w:rPr>
          <w:rFonts w:ascii="Times New Roman" w:hAnsi="Times New Roman" w:cs="Times New Roman"/>
          <w:sz w:val="20"/>
          <w:szCs w:val="20"/>
          <w:lang w:eastAsia="en-US"/>
        </w:rPr>
        <w:t>.</w:t>
      </w:r>
    </w:p>
    <w:p w14:paraId="5172D232" w14:textId="77777777" w:rsidR="006008AA" w:rsidRPr="00E666C9" w:rsidRDefault="006008AA" w:rsidP="006008AA">
      <w:pPr>
        <w:rPr>
          <w:rFonts w:ascii="Times New Roman" w:hAnsi="Times New Roman" w:cs="Times New Roman"/>
          <w:sz w:val="20"/>
          <w:szCs w:val="20"/>
          <w:lang w:eastAsia="en-US"/>
        </w:rPr>
      </w:pPr>
      <w:r>
        <w:rPr>
          <w:rFonts w:ascii="Times New Roman" w:hAnsi="Times New Roman" w:cs="Times New Roman"/>
          <w:b/>
          <w:sz w:val="20"/>
          <w:szCs w:val="20"/>
          <w:lang w:eastAsia="en-US"/>
        </w:rPr>
        <w:t>Proposal 3</w:t>
      </w:r>
      <w:r w:rsidRPr="00E666C9">
        <w:rPr>
          <w:rFonts w:ascii="Times New Roman" w:hAnsi="Times New Roman" w:cs="Times New Roman"/>
          <w:b/>
          <w:sz w:val="20"/>
          <w:szCs w:val="20"/>
          <w:lang w:eastAsia="en-US"/>
        </w:rPr>
        <w:t>:</w:t>
      </w:r>
      <w:r>
        <w:rPr>
          <w:rFonts w:ascii="Times New Roman" w:hAnsi="Times New Roman" w:cs="Times New Roman"/>
          <w:b/>
          <w:sz w:val="20"/>
          <w:szCs w:val="20"/>
          <w:lang w:eastAsia="en-US"/>
        </w:rPr>
        <w:t xml:space="preserve"> It is up to gNB’s implementation whether to transmit frequency domain occupancy indication at the beginning of DL burst. If such information is not prepared yet, the indication can point to a null value</w:t>
      </w:r>
      <w:r>
        <w:rPr>
          <w:rFonts w:ascii="Times New Roman" w:hAnsi="Times New Roman" w:cs="Times New Roman"/>
          <w:sz w:val="20"/>
          <w:szCs w:val="20"/>
          <w:lang w:eastAsia="en-US"/>
        </w:rPr>
        <w:t xml:space="preserve">. </w:t>
      </w:r>
    </w:p>
    <w:p w14:paraId="6050E256" w14:textId="77777777" w:rsidR="006008AA" w:rsidRPr="00E666C9" w:rsidRDefault="006008AA" w:rsidP="006008AA">
      <w:pPr>
        <w:rPr>
          <w:rFonts w:ascii="Times New Roman" w:hAnsi="Times New Roman" w:cs="Times New Roman"/>
          <w:sz w:val="20"/>
          <w:szCs w:val="20"/>
          <w:lang w:eastAsia="en-US"/>
        </w:rPr>
      </w:pPr>
      <w:r>
        <w:rPr>
          <w:rFonts w:ascii="Times New Roman" w:hAnsi="Times New Roman" w:cs="Times New Roman"/>
          <w:b/>
          <w:sz w:val="20"/>
          <w:szCs w:val="20"/>
          <w:lang w:eastAsia="en-US"/>
        </w:rPr>
        <w:t>Proposal 4</w:t>
      </w:r>
      <w:r w:rsidRPr="00E666C9">
        <w:rPr>
          <w:rFonts w:ascii="Times New Roman" w:hAnsi="Times New Roman" w:cs="Times New Roman"/>
          <w:b/>
          <w:sz w:val="20"/>
          <w:szCs w:val="20"/>
          <w:lang w:eastAsia="en-US"/>
        </w:rPr>
        <w:t>:</w:t>
      </w:r>
      <w:r>
        <w:rPr>
          <w:rFonts w:ascii="Times New Roman" w:hAnsi="Times New Roman" w:cs="Times New Roman"/>
          <w:b/>
          <w:sz w:val="20"/>
          <w:szCs w:val="20"/>
          <w:lang w:eastAsia="en-US"/>
        </w:rPr>
        <w:t xml:space="preserve"> If GC-PDCCH for frequency domain occupancy is configured but not received by UE, UE monitors configured PDCCH occasions in the all non-indicated LBT bandwidths in the active BWP</w:t>
      </w:r>
      <w:r>
        <w:rPr>
          <w:rFonts w:ascii="Times New Roman" w:hAnsi="Times New Roman" w:cs="Times New Roman"/>
          <w:sz w:val="20"/>
          <w:szCs w:val="20"/>
          <w:lang w:eastAsia="en-US"/>
        </w:rPr>
        <w:t xml:space="preserve">. </w:t>
      </w:r>
    </w:p>
    <w:p w14:paraId="162207A5" w14:textId="77777777" w:rsidR="006008AA" w:rsidRPr="00E666C9" w:rsidRDefault="006008AA" w:rsidP="006008AA">
      <w:pPr>
        <w:rPr>
          <w:rFonts w:ascii="Times New Roman" w:hAnsi="Times New Roman" w:cs="Times New Roman"/>
          <w:sz w:val="20"/>
          <w:szCs w:val="20"/>
          <w:lang w:eastAsia="en-US"/>
        </w:rPr>
      </w:pPr>
      <w:r w:rsidRPr="00E666C9">
        <w:rPr>
          <w:rFonts w:ascii="Times New Roman" w:hAnsi="Times New Roman" w:cs="Times New Roman"/>
          <w:b/>
          <w:sz w:val="20"/>
          <w:szCs w:val="20"/>
          <w:lang w:eastAsia="en-US"/>
        </w:rPr>
        <w:t xml:space="preserve">Proposal </w:t>
      </w:r>
      <w:r>
        <w:rPr>
          <w:rFonts w:ascii="Times New Roman" w:hAnsi="Times New Roman" w:cs="Times New Roman"/>
          <w:b/>
          <w:sz w:val="20"/>
          <w:szCs w:val="20"/>
          <w:lang w:eastAsia="en-US"/>
        </w:rPr>
        <w:t>5</w:t>
      </w:r>
      <w:r w:rsidRPr="00E666C9">
        <w:rPr>
          <w:rFonts w:ascii="Times New Roman" w:hAnsi="Times New Roman" w:cs="Times New Roman"/>
          <w:b/>
          <w:sz w:val="20"/>
          <w:szCs w:val="20"/>
          <w:lang w:eastAsia="en-US"/>
        </w:rPr>
        <w:t xml:space="preserve">: For NR-U single wideband carrier operation, each CORESET is confined within a LBT </w:t>
      </w:r>
      <w:r>
        <w:rPr>
          <w:rFonts w:ascii="Times New Roman" w:hAnsi="Times New Roman" w:cs="Times New Roman"/>
          <w:b/>
          <w:sz w:val="20"/>
          <w:szCs w:val="20"/>
          <w:lang w:eastAsia="en-US"/>
        </w:rPr>
        <w:t>bandwidth</w:t>
      </w:r>
      <w:r w:rsidRPr="00E666C9">
        <w:rPr>
          <w:rFonts w:ascii="Times New Roman" w:hAnsi="Times New Roman" w:cs="Times New Roman"/>
          <w:b/>
          <w:sz w:val="20"/>
          <w:szCs w:val="20"/>
          <w:lang w:eastAsia="en-US"/>
        </w:rPr>
        <w:t>. FFS: the number of CORESETs that can be configured to a UE</w:t>
      </w:r>
      <w:r>
        <w:rPr>
          <w:rFonts w:ascii="Times New Roman" w:hAnsi="Times New Roman" w:cs="Times New Roman"/>
          <w:sz w:val="20"/>
          <w:szCs w:val="20"/>
          <w:lang w:eastAsia="en-US"/>
        </w:rPr>
        <w:t>.</w:t>
      </w:r>
    </w:p>
    <w:p w14:paraId="1AE1A180" w14:textId="0CAB5822" w:rsidR="00D1108E" w:rsidRPr="00F0768C" w:rsidRDefault="00D1108E" w:rsidP="00D1108E">
      <w:pPr>
        <w:rPr>
          <w:rFonts w:ascii="Times New Roman" w:hAnsi="Times New Roman" w:cs="Times New Roman"/>
          <w:b/>
          <w:sz w:val="20"/>
          <w:szCs w:val="20"/>
        </w:rPr>
      </w:pPr>
      <w:r w:rsidRPr="00F0768C">
        <w:rPr>
          <w:rFonts w:ascii="Times New Roman" w:hAnsi="Times New Roman" w:cs="Times New Roman"/>
          <w:b/>
          <w:sz w:val="20"/>
          <w:szCs w:val="20"/>
        </w:rPr>
        <w:t>Proposal 6:</w:t>
      </w:r>
      <w:r>
        <w:rPr>
          <w:rFonts w:ascii="Times New Roman" w:hAnsi="Times New Roman" w:cs="Times New Roman"/>
          <w:b/>
          <w:sz w:val="20"/>
          <w:szCs w:val="20"/>
        </w:rPr>
        <w:t xml:space="preserve"> </w:t>
      </w:r>
      <w:r w:rsidR="003F197C">
        <w:rPr>
          <w:rFonts w:ascii="Times New Roman" w:hAnsi="Times New Roman" w:cs="Times New Roman"/>
          <w:b/>
          <w:sz w:val="20"/>
          <w:szCs w:val="20"/>
        </w:rPr>
        <w:t>RAN1 further studies the impact of guard band on frequency domain resource allocation</w:t>
      </w:r>
      <w:r>
        <w:rPr>
          <w:rFonts w:ascii="Times New Roman" w:hAnsi="Times New Roman" w:cs="Times New Roman"/>
          <w:b/>
          <w:sz w:val="20"/>
          <w:szCs w:val="20"/>
        </w:rPr>
        <w:t>.</w:t>
      </w:r>
    </w:p>
    <w:p w14:paraId="190592B7" w14:textId="65439B00" w:rsidR="006008AA" w:rsidRPr="00E666C9" w:rsidRDefault="006008AA" w:rsidP="006008AA">
      <w:pPr>
        <w:rPr>
          <w:rFonts w:ascii="Times New Roman" w:hAnsi="Times New Roman" w:cs="Times New Roman"/>
          <w:sz w:val="20"/>
          <w:szCs w:val="20"/>
          <w:lang w:eastAsia="en-US"/>
        </w:rPr>
      </w:pPr>
    </w:p>
    <w:sectPr w:rsidR="006008AA" w:rsidRPr="00E666C9">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44F83" w14:textId="77777777" w:rsidR="003A2F94" w:rsidRDefault="003A2F94">
      <w:r>
        <w:separator/>
      </w:r>
    </w:p>
  </w:endnote>
  <w:endnote w:type="continuationSeparator" w:id="0">
    <w:p w14:paraId="3925C477" w14:textId="77777777" w:rsidR="003A2F94" w:rsidRDefault="003A2F94">
      <w:r>
        <w:continuationSeparator/>
      </w:r>
    </w:p>
  </w:endnote>
  <w:endnote w:type="continuationNotice" w:id="1">
    <w:p w14:paraId="001C949F" w14:textId="77777777" w:rsidR="003A2F94" w:rsidRDefault="003A2F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6925F14" w:rsidR="00427C68" w:rsidRDefault="00427C68"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3F197C">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3F197C">
      <w:rPr>
        <w:rStyle w:val="ae"/>
      </w:rPr>
      <w:t>5</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EBBA9" w14:textId="77777777" w:rsidR="003A2F94" w:rsidRDefault="003A2F94">
      <w:r>
        <w:separator/>
      </w:r>
    </w:p>
  </w:footnote>
  <w:footnote w:type="continuationSeparator" w:id="0">
    <w:p w14:paraId="74F5D87F" w14:textId="77777777" w:rsidR="003A2F94" w:rsidRDefault="003A2F94">
      <w:r>
        <w:continuationSeparator/>
      </w:r>
    </w:p>
  </w:footnote>
  <w:footnote w:type="continuationNotice" w:id="1">
    <w:p w14:paraId="321E15F1" w14:textId="77777777" w:rsidR="003A2F94" w:rsidRDefault="003A2F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427C68" w:rsidRDefault="00427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4065388"/>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47562DD"/>
    <w:multiLevelType w:val="hybridMultilevel"/>
    <w:tmpl w:val="2C7AC694"/>
    <w:lvl w:ilvl="0" w:tplc="FD8EC69C">
      <w:start w:val="8"/>
      <w:numFmt w:val="bullet"/>
      <w:lvlText w:val="-"/>
      <w:lvlJc w:val="left"/>
      <w:pPr>
        <w:ind w:left="747" w:hanging="360"/>
      </w:pPr>
      <w:rPr>
        <w:rFonts w:ascii="Times New Roman" w:eastAsia="SimSun" w:hAnsi="Times New Roman" w:cs="Times New Roman"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3"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AB57EA"/>
    <w:multiLevelType w:val="hybridMultilevel"/>
    <w:tmpl w:val="D0806D90"/>
    <w:lvl w:ilvl="0" w:tplc="08090001">
      <w:start w:val="1"/>
      <w:numFmt w:val="bullet"/>
      <w:lvlText w:val=""/>
      <w:lvlJc w:val="left"/>
      <w:pPr>
        <w:ind w:left="823" w:hanging="360"/>
      </w:pPr>
      <w:rPr>
        <w:rFonts w:ascii="Symbol" w:hAnsi="Symbol" w:hint="default"/>
      </w:rPr>
    </w:lvl>
    <w:lvl w:ilvl="1" w:tplc="08090003">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392C69"/>
    <w:multiLevelType w:val="hybridMultilevel"/>
    <w:tmpl w:val="C4A8E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num w:numId="1">
    <w:abstractNumId w:val="0"/>
  </w:num>
  <w:num w:numId="2">
    <w:abstractNumId w:val="13"/>
  </w:num>
  <w:num w:numId="3">
    <w:abstractNumId w:val="7"/>
  </w:num>
  <w:num w:numId="4">
    <w:abstractNumId w:val="8"/>
  </w:num>
  <w:num w:numId="5">
    <w:abstractNumId w:val="5"/>
  </w:num>
  <w:num w:numId="6">
    <w:abstractNumId w:val="11"/>
  </w:num>
  <w:num w:numId="7">
    <w:abstractNumId w:val="16"/>
  </w:num>
  <w:num w:numId="8">
    <w:abstractNumId w:val="6"/>
  </w:num>
  <w:num w:numId="9">
    <w:abstractNumId w:val="14"/>
  </w:num>
  <w:num w:numId="10">
    <w:abstractNumId w:val="17"/>
  </w:num>
  <w:num w:numId="11">
    <w:abstractNumId w:val="12"/>
  </w:num>
  <w:num w:numId="12">
    <w:abstractNumId w:val="9"/>
  </w:num>
  <w:num w:numId="13">
    <w:abstractNumId w:val="19"/>
  </w:num>
  <w:num w:numId="14">
    <w:abstractNumId w:val="2"/>
  </w:num>
  <w:num w:numId="15">
    <w:abstractNumId w:val="15"/>
  </w:num>
  <w:num w:numId="16">
    <w:abstractNumId w:val="1"/>
  </w:num>
  <w:num w:numId="17">
    <w:abstractNumId w:val="18"/>
  </w:num>
  <w:num w:numId="18">
    <w:abstractNumId w:val="3"/>
  </w:num>
  <w:num w:numId="19">
    <w:abstractNumId w:val="4"/>
  </w:num>
  <w:num w:numId="20">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A37"/>
    <w:rsid w:val="00006446"/>
    <w:rsid w:val="00006896"/>
    <w:rsid w:val="00006B58"/>
    <w:rsid w:val="00007CDC"/>
    <w:rsid w:val="00011153"/>
    <w:rsid w:val="00011B28"/>
    <w:rsid w:val="0001207F"/>
    <w:rsid w:val="00012D65"/>
    <w:rsid w:val="00014E6A"/>
    <w:rsid w:val="00015D15"/>
    <w:rsid w:val="00016E88"/>
    <w:rsid w:val="000176B2"/>
    <w:rsid w:val="00020538"/>
    <w:rsid w:val="0002564D"/>
    <w:rsid w:val="00025ECA"/>
    <w:rsid w:val="00026008"/>
    <w:rsid w:val="0002609C"/>
    <w:rsid w:val="00027939"/>
    <w:rsid w:val="000302D0"/>
    <w:rsid w:val="00030DCD"/>
    <w:rsid w:val="000325B8"/>
    <w:rsid w:val="00033F83"/>
    <w:rsid w:val="000344F1"/>
    <w:rsid w:val="00034AE9"/>
    <w:rsid w:val="00034C15"/>
    <w:rsid w:val="000364F5"/>
    <w:rsid w:val="00036BA1"/>
    <w:rsid w:val="000377F2"/>
    <w:rsid w:val="00040D7D"/>
    <w:rsid w:val="00042049"/>
    <w:rsid w:val="000422E2"/>
    <w:rsid w:val="00042F22"/>
    <w:rsid w:val="000444EF"/>
    <w:rsid w:val="000455B9"/>
    <w:rsid w:val="00050B9F"/>
    <w:rsid w:val="00051FE1"/>
    <w:rsid w:val="00052A07"/>
    <w:rsid w:val="000534E3"/>
    <w:rsid w:val="0005606A"/>
    <w:rsid w:val="00057117"/>
    <w:rsid w:val="00057276"/>
    <w:rsid w:val="00057E2C"/>
    <w:rsid w:val="00060B7B"/>
    <w:rsid w:val="00060FD1"/>
    <w:rsid w:val="000616E7"/>
    <w:rsid w:val="00063C67"/>
    <w:rsid w:val="0006487E"/>
    <w:rsid w:val="00065E1A"/>
    <w:rsid w:val="00067548"/>
    <w:rsid w:val="00070695"/>
    <w:rsid w:val="00072D36"/>
    <w:rsid w:val="00075168"/>
    <w:rsid w:val="00077E5F"/>
    <w:rsid w:val="0008036A"/>
    <w:rsid w:val="00081AE6"/>
    <w:rsid w:val="00082017"/>
    <w:rsid w:val="000821B8"/>
    <w:rsid w:val="000841B9"/>
    <w:rsid w:val="000841EB"/>
    <w:rsid w:val="0008434E"/>
    <w:rsid w:val="000855EB"/>
    <w:rsid w:val="00085B52"/>
    <w:rsid w:val="000866F2"/>
    <w:rsid w:val="00086D4F"/>
    <w:rsid w:val="00086FD0"/>
    <w:rsid w:val="0009009F"/>
    <w:rsid w:val="00090B21"/>
    <w:rsid w:val="00091557"/>
    <w:rsid w:val="000924C1"/>
    <w:rsid w:val="000924F0"/>
    <w:rsid w:val="00092DD2"/>
    <w:rsid w:val="00093474"/>
    <w:rsid w:val="0009510F"/>
    <w:rsid w:val="00096079"/>
    <w:rsid w:val="000A01BF"/>
    <w:rsid w:val="000A0795"/>
    <w:rsid w:val="000A19D5"/>
    <w:rsid w:val="000A1B7B"/>
    <w:rsid w:val="000A2E8D"/>
    <w:rsid w:val="000A56F2"/>
    <w:rsid w:val="000A7958"/>
    <w:rsid w:val="000B2719"/>
    <w:rsid w:val="000B2793"/>
    <w:rsid w:val="000B2AD4"/>
    <w:rsid w:val="000B3A8F"/>
    <w:rsid w:val="000B3BB4"/>
    <w:rsid w:val="000B4AB9"/>
    <w:rsid w:val="000B4CF7"/>
    <w:rsid w:val="000B58C3"/>
    <w:rsid w:val="000B61E9"/>
    <w:rsid w:val="000B7068"/>
    <w:rsid w:val="000B751E"/>
    <w:rsid w:val="000B7CF7"/>
    <w:rsid w:val="000C0B03"/>
    <w:rsid w:val="000C0F46"/>
    <w:rsid w:val="000C165A"/>
    <w:rsid w:val="000C1A51"/>
    <w:rsid w:val="000C2E19"/>
    <w:rsid w:val="000C302A"/>
    <w:rsid w:val="000C3084"/>
    <w:rsid w:val="000C3BB5"/>
    <w:rsid w:val="000C65B7"/>
    <w:rsid w:val="000D0D07"/>
    <w:rsid w:val="000D1C00"/>
    <w:rsid w:val="000D2ACE"/>
    <w:rsid w:val="000D4797"/>
    <w:rsid w:val="000D4C5E"/>
    <w:rsid w:val="000E0527"/>
    <w:rsid w:val="000E12B6"/>
    <w:rsid w:val="000E1E92"/>
    <w:rsid w:val="000E58DF"/>
    <w:rsid w:val="000E5D8D"/>
    <w:rsid w:val="000E6447"/>
    <w:rsid w:val="000E7C6F"/>
    <w:rsid w:val="000E7F1B"/>
    <w:rsid w:val="000F06D6"/>
    <w:rsid w:val="000F0EB1"/>
    <w:rsid w:val="000F1106"/>
    <w:rsid w:val="000F153F"/>
    <w:rsid w:val="000F2040"/>
    <w:rsid w:val="000F3343"/>
    <w:rsid w:val="000F3AF3"/>
    <w:rsid w:val="000F3BE9"/>
    <w:rsid w:val="000F3F6C"/>
    <w:rsid w:val="000F5C00"/>
    <w:rsid w:val="000F6DF3"/>
    <w:rsid w:val="001005FF"/>
    <w:rsid w:val="001062FB"/>
    <w:rsid w:val="001063E6"/>
    <w:rsid w:val="00107197"/>
    <w:rsid w:val="00112BC6"/>
    <w:rsid w:val="00113CF4"/>
    <w:rsid w:val="001153EA"/>
    <w:rsid w:val="00115643"/>
    <w:rsid w:val="00116765"/>
    <w:rsid w:val="00117B7E"/>
    <w:rsid w:val="00120616"/>
    <w:rsid w:val="0012078D"/>
    <w:rsid w:val="0012080F"/>
    <w:rsid w:val="001219F5"/>
    <w:rsid w:val="00121A20"/>
    <w:rsid w:val="00122F2E"/>
    <w:rsid w:val="00123610"/>
    <w:rsid w:val="0012377F"/>
    <w:rsid w:val="00124314"/>
    <w:rsid w:val="001254E8"/>
    <w:rsid w:val="00126B4A"/>
    <w:rsid w:val="001272AC"/>
    <w:rsid w:val="00127B88"/>
    <w:rsid w:val="00127E49"/>
    <w:rsid w:val="00131DAF"/>
    <w:rsid w:val="00131EC3"/>
    <w:rsid w:val="00132FD0"/>
    <w:rsid w:val="00133CEB"/>
    <w:rsid w:val="001344C0"/>
    <w:rsid w:val="001346FA"/>
    <w:rsid w:val="00135252"/>
    <w:rsid w:val="00135588"/>
    <w:rsid w:val="00137194"/>
    <w:rsid w:val="00137AB5"/>
    <w:rsid w:val="00137ED0"/>
    <w:rsid w:val="00137F0B"/>
    <w:rsid w:val="001406B8"/>
    <w:rsid w:val="001416F8"/>
    <w:rsid w:val="00141A7D"/>
    <w:rsid w:val="00144A2C"/>
    <w:rsid w:val="00145D40"/>
    <w:rsid w:val="00146270"/>
    <w:rsid w:val="00146AD8"/>
    <w:rsid w:val="00151723"/>
    <w:rsid w:val="00151E23"/>
    <w:rsid w:val="001526E0"/>
    <w:rsid w:val="00152DF6"/>
    <w:rsid w:val="001550E1"/>
    <w:rsid w:val="001551B5"/>
    <w:rsid w:val="0015525E"/>
    <w:rsid w:val="0015531C"/>
    <w:rsid w:val="00155652"/>
    <w:rsid w:val="00155888"/>
    <w:rsid w:val="001608F0"/>
    <w:rsid w:val="00160DD8"/>
    <w:rsid w:val="001632FD"/>
    <w:rsid w:val="001643A8"/>
    <w:rsid w:val="0016465B"/>
    <w:rsid w:val="0016522A"/>
    <w:rsid w:val="001659C1"/>
    <w:rsid w:val="00165A59"/>
    <w:rsid w:val="0016607D"/>
    <w:rsid w:val="00167512"/>
    <w:rsid w:val="001707FD"/>
    <w:rsid w:val="00171A1F"/>
    <w:rsid w:val="00171D4D"/>
    <w:rsid w:val="00171D60"/>
    <w:rsid w:val="00173A8E"/>
    <w:rsid w:val="0017489D"/>
    <w:rsid w:val="0017649E"/>
    <w:rsid w:val="00177795"/>
    <w:rsid w:val="00180D4C"/>
    <w:rsid w:val="0018143F"/>
    <w:rsid w:val="00181887"/>
    <w:rsid w:val="00184585"/>
    <w:rsid w:val="00190AC1"/>
    <w:rsid w:val="001928DE"/>
    <w:rsid w:val="00192C10"/>
    <w:rsid w:val="0019341A"/>
    <w:rsid w:val="00195520"/>
    <w:rsid w:val="001963B6"/>
    <w:rsid w:val="00197BC4"/>
    <w:rsid w:val="00197DF9"/>
    <w:rsid w:val="001A1987"/>
    <w:rsid w:val="001A2564"/>
    <w:rsid w:val="001A2C49"/>
    <w:rsid w:val="001A3C04"/>
    <w:rsid w:val="001A45EE"/>
    <w:rsid w:val="001A4EC0"/>
    <w:rsid w:val="001A5E6F"/>
    <w:rsid w:val="001A6173"/>
    <w:rsid w:val="001A6CBA"/>
    <w:rsid w:val="001B0D97"/>
    <w:rsid w:val="001B1B9B"/>
    <w:rsid w:val="001B2E53"/>
    <w:rsid w:val="001B3012"/>
    <w:rsid w:val="001B5A5D"/>
    <w:rsid w:val="001B6053"/>
    <w:rsid w:val="001B6CE0"/>
    <w:rsid w:val="001B7DF3"/>
    <w:rsid w:val="001C1CE5"/>
    <w:rsid w:val="001C3D2A"/>
    <w:rsid w:val="001C3D73"/>
    <w:rsid w:val="001C4A35"/>
    <w:rsid w:val="001C5950"/>
    <w:rsid w:val="001C6495"/>
    <w:rsid w:val="001C67E3"/>
    <w:rsid w:val="001C7060"/>
    <w:rsid w:val="001D02D8"/>
    <w:rsid w:val="001D05CD"/>
    <w:rsid w:val="001D15FC"/>
    <w:rsid w:val="001D2185"/>
    <w:rsid w:val="001D280D"/>
    <w:rsid w:val="001D2FFD"/>
    <w:rsid w:val="001D3AD3"/>
    <w:rsid w:val="001D4132"/>
    <w:rsid w:val="001D4ABC"/>
    <w:rsid w:val="001D51BA"/>
    <w:rsid w:val="001D6342"/>
    <w:rsid w:val="001D6D53"/>
    <w:rsid w:val="001E1D1D"/>
    <w:rsid w:val="001E344E"/>
    <w:rsid w:val="001E58E2"/>
    <w:rsid w:val="001E7AED"/>
    <w:rsid w:val="001F15FB"/>
    <w:rsid w:val="001F3916"/>
    <w:rsid w:val="001F4AB0"/>
    <w:rsid w:val="001F54C5"/>
    <w:rsid w:val="001F662C"/>
    <w:rsid w:val="001F7074"/>
    <w:rsid w:val="001F718F"/>
    <w:rsid w:val="00200490"/>
    <w:rsid w:val="00200F45"/>
    <w:rsid w:val="00201F3A"/>
    <w:rsid w:val="00203F96"/>
    <w:rsid w:val="0020419A"/>
    <w:rsid w:val="00204846"/>
    <w:rsid w:val="0020528E"/>
    <w:rsid w:val="0020661F"/>
    <w:rsid w:val="002069B2"/>
    <w:rsid w:val="00206C08"/>
    <w:rsid w:val="00207501"/>
    <w:rsid w:val="00207F96"/>
    <w:rsid w:val="00207FA3"/>
    <w:rsid w:val="00214DA8"/>
    <w:rsid w:val="0021518A"/>
    <w:rsid w:val="00215423"/>
    <w:rsid w:val="002158FA"/>
    <w:rsid w:val="00216564"/>
    <w:rsid w:val="00216EB1"/>
    <w:rsid w:val="002202E1"/>
    <w:rsid w:val="00220600"/>
    <w:rsid w:val="0022168B"/>
    <w:rsid w:val="00221997"/>
    <w:rsid w:val="002224DB"/>
    <w:rsid w:val="00222DEF"/>
    <w:rsid w:val="00223FCB"/>
    <w:rsid w:val="002252C3"/>
    <w:rsid w:val="00225C54"/>
    <w:rsid w:val="00225E7C"/>
    <w:rsid w:val="002261EF"/>
    <w:rsid w:val="0023019F"/>
    <w:rsid w:val="00230568"/>
    <w:rsid w:val="00230765"/>
    <w:rsid w:val="002319E4"/>
    <w:rsid w:val="00231EE8"/>
    <w:rsid w:val="00233AFC"/>
    <w:rsid w:val="00235562"/>
    <w:rsid w:val="00235632"/>
    <w:rsid w:val="00235872"/>
    <w:rsid w:val="00241559"/>
    <w:rsid w:val="00241B98"/>
    <w:rsid w:val="00242973"/>
    <w:rsid w:val="00242A0A"/>
    <w:rsid w:val="002435B3"/>
    <w:rsid w:val="00244DBD"/>
    <w:rsid w:val="0024547B"/>
    <w:rsid w:val="002454D4"/>
    <w:rsid w:val="002458EB"/>
    <w:rsid w:val="002500C8"/>
    <w:rsid w:val="00250F16"/>
    <w:rsid w:val="0025167F"/>
    <w:rsid w:val="0025421E"/>
    <w:rsid w:val="00254378"/>
    <w:rsid w:val="002558D7"/>
    <w:rsid w:val="002573E8"/>
    <w:rsid w:val="00257543"/>
    <w:rsid w:val="00257F88"/>
    <w:rsid w:val="00261285"/>
    <w:rsid w:val="002617E7"/>
    <w:rsid w:val="00261FC8"/>
    <w:rsid w:val="00264109"/>
    <w:rsid w:val="00264228"/>
    <w:rsid w:val="00264334"/>
    <w:rsid w:val="0026473E"/>
    <w:rsid w:val="00266214"/>
    <w:rsid w:val="0026743E"/>
    <w:rsid w:val="00267C58"/>
    <w:rsid w:val="00267C83"/>
    <w:rsid w:val="00270D24"/>
    <w:rsid w:val="00271046"/>
    <w:rsid w:val="0027144F"/>
    <w:rsid w:val="00271F3A"/>
    <w:rsid w:val="0027208A"/>
    <w:rsid w:val="00272796"/>
    <w:rsid w:val="00273278"/>
    <w:rsid w:val="002737F4"/>
    <w:rsid w:val="0027455E"/>
    <w:rsid w:val="00275CAD"/>
    <w:rsid w:val="00277453"/>
    <w:rsid w:val="002803F3"/>
    <w:rsid w:val="002805F5"/>
    <w:rsid w:val="00280751"/>
    <w:rsid w:val="0028280A"/>
    <w:rsid w:val="00286ACD"/>
    <w:rsid w:val="00287838"/>
    <w:rsid w:val="00287895"/>
    <w:rsid w:val="002907B5"/>
    <w:rsid w:val="00292E71"/>
    <w:rsid w:val="00292EB7"/>
    <w:rsid w:val="00293B29"/>
    <w:rsid w:val="00293F02"/>
    <w:rsid w:val="00296227"/>
    <w:rsid w:val="00296F44"/>
    <w:rsid w:val="0029774E"/>
    <w:rsid w:val="0029777D"/>
    <w:rsid w:val="002A036D"/>
    <w:rsid w:val="002A055E"/>
    <w:rsid w:val="002A1D4E"/>
    <w:rsid w:val="002A2117"/>
    <w:rsid w:val="002A2869"/>
    <w:rsid w:val="002A45C6"/>
    <w:rsid w:val="002A50D7"/>
    <w:rsid w:val="002A5160"/>
    <w:rsid w:val="002A75FE"/>
    <w:rsid w:val="002B06F0"/>
    <w:rsid w:val="002B0B1F"/>
    <w:rsid w:val="002B24D6"/>
    <w:rsid w:val="002B2CC5"/>
    <w:rsid w:val="002B467E"/>
    <w:rsid w:val="002B47B7"/>
    <w:rsid w:val="002B7F65"/>
    <w:rsid w:val="002C244C"/>
    <w:rsid w:val="002C31CA"/>
    <w:rsid w:val="002C32A1"/>
    <w:rsid w:val="002C39FD"/>
    <w:rsid w:val="002C40EF"/>
    <w:rsid w:val="002C41E6"/>
    <w:rsid w:val="002D00AE"/>
    <w:rsid w:val="002D022A"/>
    <w:rsid w:val="002D071A"/>
    <w:rsid w:val="002D34B2"/>
    <w:rsid w:val="002D362A"/>
    <w:rsid w:val="002D4ADC"/>
    <w:rsid w:val="002D5402"/>
    <w:rsid w:val="002D5976"/>
    <w:rsid w:val="002D7637"/>
    <w:rsid w:val="002E14D6"/>
    <w:rsid w:val="002E17F2"/>
    <w:rsid w:val="002E3CAE"/>
    <w:rsid w:val="002E3DED"/>
    <w:rsid w:val="002E53A4"/>
    <w:rsid w:val="002E64DB"/>
    <w:rsid w:val="002E7CAE"/>
    <w:rsid w:val="002F246A"/>
    <w:rsid w:val="002F2771"/>
    <w:rsid w:val="002F3420"/>
    <w:rsid w:val="002F37A9"/>
    <w:rsid w:val="002F421A"/>
    <w:rsid w:val="002F4796"/>
    <w:rsid w:val="00300010"/>
    <w:rsid w:val="00301CE6"/>
    <w:rsid w:val="0030256B"/>
    <w:rsid w:val="00303FC5"/>
    <w:rsid w:val="0030501F"/>
    <w:rsid w:val="00305A9E"/>
    <w:rsid w:val="00305D11"/>
    <w:rsid w:val="003060DE"/>
    <w:rsid w:val="00307047"/>
    <w:rsid w:val="00307BA1"/>
    <w:rsid w:val="00310933"/>
    <w:rsid w:val="00311702"/>
    <w:rsid w:val="00311E82"/>
    <w:rsid w:val="00313FD6"/>
    <w:rsid w:val="003143BD"/>
    <w:rsid w:val="003177E4"/>
    <w:rsid w:val="00317B01"/>
    <w:rsid w:val="003203ED"/>
    <w:rsid w:val="003207D7"/>
    <w:rsid w:val="00322C9F"/>
    <w:rsid w:val="00322CD7"/>
    <w:rsid w:val="003248B5"/>
    <w:rsid w:val="00324D23"/>
    <w:rsid w:val="003261A9"/>
    <w:rsid w:val="00327044"/>
    <w:rsid w:val="00331751"/>
    <w:rsid w:val="00334579"/>
    <w:rsid w:val="00334708"/>
    <w:rsid w:val="00335858"/>
    <w:rsid w:val="00335A88"/>
    <w:rsid w:val="0033621A"/>
    <w:rsid w:val="00336BDA"/>
    <w:rsid w:val="0034033C"/>
    <w:rsid w:val="003408A5"/>
    <w:rsid w:val="00341BF2"/>
    <w:rsid w:val="00342BD7"/>
    <w:rsid w:val="00342D3F"/>
    <w:rsid w:val="00343A07"/>
    <w:rsid w:val="0034436D"/>
    <w:rsid w:val="00344407"/>
    <w:rsid w:val="0034453E"/>
    <w:rsid w:val="00344919"/>
    <w:rsid w:val="00344941"/>
    <w:rsid w:val="003453C2"/>
    <w:rsid w:val="003455D2"/>
    <w:rsid w:val="00345862"/>
    <w:rsid w:val="00346DB5"/>
    <w:rsid w:val="003477B1"/>
    <w:rsid w:val="003508BF"/>
    <w:rsid w:val="00351A57"/>
    <w:rsid w:val="003526DA"/>
    <w:rsid w:val="0035482C"/>
    <w:rsid w:val="00354A8F"/>
    <w:rsid w:val="00355135"/>
    <w:rsid w:val="0035709A"/>
    <w:rsid w:val="00357380"/>
    <w:rsid w:val="003602D9"/>
    <w:rsid w:val="003604CE"/>
    <w:rsid w:val="00361478"/>
    <w:rsid w:val="0036161E"/>
    <w:rsid w:val="00362DE3"/>
    <w:rsid w:val="00365A6D"/>
    <w:rsid w:val="00366717"/>
    <w:rsid w:val="00366D3B"/>
    <w:rsid w:val="003670B6"/>
    <w:rsid w:val="00367C6C"/>
    <w:rsid w:val="00370878"/>
    <w:rsid w:val="00370E47"/>
    <w:rsid w:val="003714E8"/>
    <w:rsid w:val="003735E5"/>
    <w:rsid w:val="003742AC"/>
    <w:rsid w:val="00374C70"/>
    <w:rsid w:val="00375204"/>
    <w:rsid w:val="003768C5"/>
    <w:rsid w:val="00377CE1"/>
    <w:rsid w:val="00385BF0"/>
    <w:rsid w:val="0038629C"/>
    <w:rsid w:val="003874B1"/>
    <w:rsid w:val="00387618"/>
    <w:rsid w:val="00387BA7"/>
    <w:rsid w:val="00390264"/>
    <w:rsid w:val="003939FF"/>
    <w:rsid w:val="00396A2D"/>
    <w:rsid w:val="00397681"/>
    <w:rsid w:val="003A127C"/>
    <w:rsid w:val="003A2223"/>
    <w:rsid w:val="003A23C7"/>
    <w:rsid w:val="003A254F"/>
    <w:rsid w:val="003A2A0F"/>
    <w:rsid w:val="003A2F94"/>
    <w:rsid w:val="003A369D"/>
    <w:rsid w:val="003A45A1"/>
    <w:rsid w:val="003A5B0A"/>
    <w:rsid w:val="003A6BAC"/>
    <w:rsid w:val="003A7EF3"/>
    <w:rsid w:val="003B0971"/>
    <w:rsid w:val="003B159C"/>
    <w:rsid w:val="003B2930"/>
    <w:rsid w:val="003B2D90"/>
    <w:rsid w:val="003B369F"/>
    <w:rsid w:val="003B36A3"/>
    <w:rsid w:val="003B4D22"/>
    <w:rsid w:val="003B4F17"/>
    <w:rsid w:val="003B608D"/>
    <w:rsid w:val="003B72A4"/>
    <w:rsid w:val="003B7851"/>
    <w:rsid w:val="003B7FE5"/>
    <w:rsid w:val="003C0766"/>
    <w:rsid w:val="003C10D1"/>
    <w:rsid w:val="003C11C8"/>
    <w:rsid w:val="003C1869"/>
    <w:rsid w:val="003C2702"/>
    <w:rsid w:val="003C2F3A"/>
    <w:rsid w:val="003C3798"/>
    <w:rsid w:val="003C383A"/>
    <w:rsid w:val="003C4788"/>
    <w:rsid w:val="003C7806"/>
    <w:rsid w:val="003C7D8D"/>
    <w:rsid w:val="003D03A4"/>
    <w:rsid w:val="003D109F"/>
    <w:rsid w:val="003D1E65"/>
    <w:rsid w:val="003D2478"/>
    <w:rsid w:val="003D2D9C"/>
    <w:rsid w:val="003D2FC4"/>
    <w:rsid w:val="003D30B5"/>
    <w:rsid w:val="003D387A"/>
    <w:rsid w:val="003D3C45"/>
    <w:rsid w:val="003D4532"/>
    <w:rsid w:val="003D53B4"/>
    <w:rsid w:val="003D5B1F"/>
    <w:rsid w:val="003D5C6F"/>
    <w:rsid w:val="003D5E2C"/>
    <w:rsid w:val="003E0F12"/>
    <w:rsid w:val="003E10E7"/>
    <w:rsid w:val="003E15FA"/>
    <w:rsid w:val="003E21B4"/>
    <w:rsid w:val="003E3CA5"/>
    <w:rsid w:val="003E45F5"/>
    <w:rsid w:val="003E4EAD"/>
    <w:rsid w:val="003E55E4"/>
    <w:rsid w:val="003E5613"/>
    <w:rsid w:val="003E6588"/>
    <w:rsid w:val="003E74E3"/>
    <w:rsid w:val="003E75BA"/>
    <w:rsid w:val="003F05C7"/>
    <w:rsid w:val="003F197C"/>
    <w:rsid w:val="003F1D11"/>
    <w:rsid w:val="003F1D35"/>
    <w:rsid w:val="003F2CD4"/>
    <w:rsid w:val="003F3088"/>
    <w:rsid w:val="003F38B8"/>
    <w:rsid w:val="003F6BBE"/>
    <w:rsid w:val="003F75E8"/>
    <w:rsid w:val="004000E8"/>
    <w:rsid w:val="00400EA0"/>
    <w:rsid w:val="004014F3"/>
    <w:rsid w:val="00402DD0"/>
    <w:rsid w:val="00402E2B"/>
    <w:rsid w:val="00403E95"/>
    <w:rsid w:val="0040512B"/>
    <w:rsid w:val="00405B22"/>
    <w:rsid w:val="00405CA5"/>
    <w:rsid w:val="0040709E"/>
    <w:rsid w:val="0040715C"/>
    <w:rsid w:val="00407CD3"/>
    <w:rsid w:val="00410134"/>
    <w:rsid w:val="00410B72"/>
    <w:rsid w:val="00410F18"/>
    <w:rsid w:val="0041263E"/>
    <w:rsid w:val="00413AAC"/>
    <w:rsid w:val="00413EFB"/>
    <w:rsid w:val="00415A4C"/>
    <w:rsid w:val="00415D3C"/>
    <w:rsid w:val="00416B1B"/>
    <w:rsid w:val="00417BAF"/>
    <w:rsid w:val="00417EB0"/>
    <w:rsid w:val="00420DC3"/>
    <w:rsid w:val="00421105"/>
    <w:rsid w:val="00421755"/>
    <w:rsid w:val="004234D8"/>
    <w:rsid w:val="00423C9D"/>
    <w:rsid w:val="004242F4"/>
    <w:rsid w:val="00427248"/>
    <w:rsid w:val="00427C68"/>
    <w:rsid w:val="0043123D"/>
    <w:rsid w:val="004332BB"/>
    <w:rsid w:val="00433B47"/>
    <w:rsid w:val="0043448A"/>
    <w:rsid w:val="004351A3"/>
    <w:rsid w:val="00435213"/>
    <w:rsid w:val="00435CD3"/>
    <w:rsid w:val="00435ECC"/>
    <w:rsid w:val="00437447"/>
    <w:rsid w:val="004374BA"/>
    <w:rsid w:val="00440548"/>
    <w:rsid w:val="00440B16"/>
    <w:rsid w:val="00441A92"/>
    <w:rsid w:val="00443BE9"/>
    <w:rsid w:val="00444AAD"/>
    <w:rsid w:val="00444C54"/>
    <w:rsid w:val="00444C6F"/>
    <w:rsid w:val="00444F56"/>
    <w:rsid w:val="00445D84"/>
    <w:rsid w:val="004462C8"/>
    <w:rsid w:val="00446488"/>
    <w:rsid w:val="004517AA"/>
    <w:rsid w:val="00451811"/>
    <w:rsid w:val="004521EC"/>
    <w:rsid w:val="00452CAC"/>
    <w:rsid w:val="00452F5B"/>
    <w:rsid w:val="00453200"/>
    <w:rsid w:val="00453851"/>
    <w:rsid w:val="00453875"/>
    <w:rsid w:val="00457565"/>
    <w:rsid w:val="00457B71"/>
    <w:rsid w:val="00460DB9"/>
    <w:rsid w:val="00461FDF"/>
    <w:rsid w:val="00462F46"/>
    <w:rsid w:val="0046300D"/>
    <w:rsid w:val="00464200"/>
    <w:rsid w:val="00465F3A"/>
    <w:rsid w:val="004669E2"/>
    <w:rsid w:val="004671E7"/>
    <w:rsid w:val="00470BA8"/>
    <w:rsid w:val="00470C31"/>
    <w:rsid w:val="0047157F"/>
    <w:rsid w:val="00471AA9"/>
    <w:rsid w:val="004726C7"/>
    <w:rsid w:val="004734D0"/>
    <w:rsid w:val="00474804"/>
    <w:rsid w:val="0047556B"/>
    <w:rsid w:val="004759D0"/>
    <w:rsid w:val="00475AC8"/>
    <w:rsid w:val="004769FA"/>
    <w:rsid w:val="00476B40"/>
    <w:rsid w:val="00477768"/>
    <w:rsid w:val="004835D6"/>
    <w:rsid w:val="004846D1"/>
    <w:rsid w:val="004850E5"/>
    <w:rsid w:val="00485BC6"/>
    <w:rsid w:val="00492BC5"/>
    <w:rsid w:val="00493F23"/>
    <w:rsid w:val="00494430"/>
    <w:rsid w:val="004961CE"/>
    <w:rsid w:val="004963BF"/>
    <w:rsid w:val="004964F1"/>
    <w:rsid w:val="004970B3"/>
    <w:rsid w:val="004A16BC"/>
    <w:rsid w:val="004A2B94"/>
    <w:rsid w:val="004A7E7F"/>
    <w:rsid w:val="004B10DB"/>
    <w:rsid w:val="004B155E"/>
    <w:rsid w:val="004B2BC9"/>
    <w:rsid w:val="004B2FD1"/>
    <w:rsid w:val="004B3ACB"/>
    <w:rsid w:val="004B563D"/>
    <w:rsid w:val="004B7C0C"/>
    <w:rsid w:val="004C01C8"/>
    <w:rsid w:val="004C2328"/>
    <w:rsid w:val="004C2D6E"/>
    <w:rsid w:val="004C3898"/>
    <w:rsid w:val="004C5405"/>
    <w:rsid w:val="004C54C2"/>
    <w:rsid w:val="004C6EDD"/>
    <w:rsid w:val="004D18D8"/>
    <w:rsid w:val="004D2237"/>
    <w:rsid w:val="004D36B1"/>
    <w:rsid w:val="004D3B3E"/>
    <w:rsid w:val="004D7EBD"/>
    <w:rsid w:val="004E0BD6"/>
    <w:rsid w:val="004E1A9A"/>
    <w:rsid w:val="004E2680"/>
    <w:rsid w:val="004E2847"/>
    <w:rsid w:val="004E28F9"/>
    <w:rsid w:val="004E2A64"/>
    <w:rsid w:val="004E38F5"/>
    <w:rsid w:val="004E462E"/>
    <w:rsid w:val="004E4F53"/>
    <w:rsid w:val="004E56DC"/>
    <w:rsid w:val="004E5AC2"/>
    <w:rsid w:val="004E6960"/>
    <w:rsid w:val="004E76F4"/>
    <w:rsid w:val="004E7980"/>
    <w:rsid w:val="004F0B4E"/>
    <w:rsid w:val="004F0B6C"/>
    <w:rsid w:val="004F1D42"/>
    <w:rsid w:val="004F2078"/>
    <w:rsid w:val="004F4DA3"/>
    <w:rsid w:val="004F7740"/>
    <w:rsid w:val="004F7EA9"/>
    <w:rsid w:val="0050054E"/>
    <w:rsid w:val="00500754"/>
    <w:rsid w:val="00501607"/>
    <w:rsid w:val="00502773"/>
    <w:rsid w:val="0050361D"/>
    <w:rsid w:val="00503A6D"/>
    <w:rsid w:val="0050462F"/>
    <w:rsid w:val="00504651"/>
    <w:rsid w:val="005054B0"/>
    <w:rsid w:val="00506557"/>
    <w:rsid w:val="0050677A"/>
    <w:rsid w:val="00507454"/>
    <w:rsid w:val="005079A0"/>
    <w:rsid w:val="005108D8"/>
    <w:rsid w:val="005111A1"/>
    <w:rsid w:val="005116F9"/>
    <w:rsid w:val="005153A7"/>
    <w:rsid w:val="005154C5"/>
    <w:rsid w:val="00517303"/>
    <w:rsid w:val="005219CF"/>
    <w:rsid w:val="00522D07"/>
    <w:rsid w:val="00525F75"/>
    <w:rsid w:val="005267A6"/>
    <w:rsid w:val="00526C0D"/>
    <w:rsid w:val="00527104"/>
    <w:rsid w:val="005313D4"/>
    <w:rsid w:val="00531534"/>
    <w:rsid w:val="00531CAC"/>
    <w:rsid w:val="00531F1D"/>
    <w:rsid w:val="00532331"/>
    <w:rsid w:val="00532546"/>
    <w:rsid w:val="0053355A"/>
    <w:rsid w:val="005336B9"/>
    <w:rsid w:val="005338D0"/>
    <w:rsid w:val="005343FA"/>
    <w:rsid w:val="00534B59"/>
    <w:rsid w:val="00536759"/>
    <w:rsid w:val="005369A8"/>
    <w:rsid w:val="00536BFB"/>
    <w:rsid w:val="00537C62"/>
    <w:rsid w:val="00543336"/>
    <w:rsid w:val="00543775"/>
    <w:rsid w:val="00546970"/>
    <w:rsid w:val="00547A14"/>
    <w:rsid w:val="00547F05"/>
    <w:rsid w:val="0055001B"/>
    <w:rsid w:val="00553715"/>
    <w:rsid w:val="00554E19"/>
    <w:rsid w:val="00555D73"/>
    <w:rsid w:val="005564FC"/>
    <w:rsid w:val="005579C5"/>
    <w:rsid w:val="00561182"/>
    <w:rsid w:val="0056121F"/>
    <w:rsid w:val="00561320"/>
    <w:rsid w:val="00562064"/>
    <w:rsid w:val="0056299D"/>
    <w:rsid w:val="00562A1A"/>
    <w:rsid w:val="0056356C"/>
    <w:rsid w:val="005636E8"/>
    <w:rsid w:val="00570F8E"/>
    <w:rsid w:val="00572505"/>
    <w:rsid w:val="00572CE8"/>
    <w:rsid w:val="00580202"/>
    <w:rsid w:val="00582746"/>
    <w:rsid w:val="00582809"/>
    <w:rsid w:val="00582A4A"/>
    <w:rsid w:val="00584ABE"/>
    <w:rsid w:val="0058563E"/>
    <w:rsid w:val="005874C6"/>
    <w:rsid w:val="0058798C"/>
    <w:rsid w:val="00587BD2"/>
    <w:rsid w:val="005900FA"/>
    <w:rsid w:val="005923F4"/>
    <w:rsid w:val="005935A4"/>
    <w:rsid w:val="005948C2"/>
    <w:rsid w:val="00595DCA"/>
    <w:rsid w:val="0059779B"/>
    <w:rsid w:val="005A0D5F"/>
    <w:rsid w:val="005A147F"/>
    <w:rsid w:val="005A1D12"/>
    <w:rsid w:val="005A209A"/>
    <w:rsid w:val="005A2A38"/>
    <w:rsid w:val="005A3ADD"/>
    <w:rsid w:val="005A4518"/>
    <w:rsid w:val="005A5323"/>
    <w:rsid w:val="005A662D"/>
    <w:rsid w:val="005A6B1C"/>
    <w:rsid w:val="005B35D7"/>
    <w:rsid w:val="005B392A"/>
    <w:rsid w:val="005B3AA3"/>
    <w:rsid w:val="005B41BD"/>
    <w:rsid w:val="005B4E16"/>
    <w:rsid w:val="005B544F"/>
    <w:rsid w:val="005B55E3"/>
    <w:rsid w:val="005B6F83"/>
    <w:rsid w:val="005C04B6"/>
    <w:rsid w:val="005C25FC"/>
    <w:rsid w:val="005C2995"/>
    <w:rsid w:val="005C32E7"/>
    <w:rsid w:val="005C35EA"/>
    <w:rsid w:val="005C470A"/>
    <w:rsid w:val="005C493C"/>
    <w:rsid w:val="005C74FB"/>
    <w:rsid w:val="005D1498"/>
    <w:rsid w:val="005D1602"/>
    <w:rsid w:val="005D1A70"/>
    <w:rsid w:val="005D3382"/>
    <w:rsid w:val="005D65DE"/>
    <w:rsid w:val="005D6B0B"/>
    <w:rsid w:val="005D7BBD"/>
    <w:rsid w:val="005E12A6"/>
    <w:rsid w:val="005E30FD"/>
    <w:rsid w:val="005E385F"/>
    <w:rsid w:val="005E3915"/>
    <w:rsid w:val="005E45BC"/>
    <w:rsid w:val="005E5B81"/>
    <w:rsid w:val="005E5C6F"/>
    <w:rsid w:val="005E5D85"/>
    <w:rsid w:val="005E6E84"/>
    <w:rsid w:val="005F06E0"/>
    <w:rsid w:val="005F168C"/>
    <w:rsid w:val="005F2CB1"/>
    <w:rsid w:val="005F3025"/>
    <w:rsid w:val="005F3AC1"/>
    <w:rsid w:val="005F4D03"/>
    <w:rsid w:val="005F50BF"/>
    <w:rsid w:val="005F528E"/>
    <w:rsid w:val="005F5AF7"/>
    <w:rsid w:val="005F618C"/>
    <w:rsid w:val="005F6777"/>
    <w:rsid w:val="005F70BD"/>
    <w:rsid w:val="006008AA"/>
    <w:rsid w:val="00601ACA"/>
    <w:rsid w:val="0060283C"/>
    <w:rsid w:val="00602CC9"/>
    <w:rsid w:val="00604F14"/>
    <w:rsid w:val="00605F62"/>
    <w:rsid w:val="00610371"/>
    <w:rsid w:val="00611B83"/>
    <w:rsid w:val="00611BEC"/>
    <w:rsid w:val="00613257"/>
    <w:rsid w:val="00620A71"/>
    <w:rsid w:val="00620D80"/>
    <w:rsid w:val="006234A6"/>
    <w:rsid w:val="00624D23"/>
    <w:rsid w:val="00624F8F"/>
    <w:rsid w:val="00625051"/>
    <w:rsid w:val="006268BE"/>
    <w:rsid w:val="006276C5"/>
    <w:rsid w:val="00630001"/>
    <w:rsid w:val="006311B3"/>
    <w:rsid w:val="0063284C"/>
    <w:rsid w:val="00632C35"/>
    <w:rsid w:val="00633833"/>
    <w:rsid w:val="0063397D"/>
    <w:rsid w:val="00634E62"/>
    <w:rsid w:val="006358D5"/>
    <w:rsid w:val="00635F6F"/>
    <w:rsid w:val="00636046"/>
    <w:rsid w:val="00636398"/>
    <w:rsid w:val="006368D3"/>
    <w:rsid w:val="00636A5D"/>
    <w:rsid w:val="006377EC"/>
    <w:rsid w:val="0064151F"/>
    <w:rsid w:val="00641533"/>
    <w:rsid w:val="0064208D"/>
    <w:rsid w:val="0064304C"/>
    <w:rsid w:val="00643475"/>
    <w:rsid w:val="0064396A"/>
    <w:rsid w:val="0064624E"/>
    <w:rsid w:val="00646851"/>
    <w:rsid w:val="00650AB9"/>
    <w:rsid w:val="00650C8A"/>
    <w:rsid w:val="00651393"/>
    <w:rsid w:val="006523F3"/>
    <w:rsid w:val="006528F9"/>
    <w:rsid w:val="00652DCB"/>
    <w:rsid w:val="00654C29"/>
    <w:rsid w:val="00654D99"/>
    <w:rsid w:val="00654EC2"/>
    <w:rsid w:val="00655733"/>
    <w:rsid w:val="00655A53"/>
    <w:rsid w:val="00655ACD"/>
    <w:rsid w:val="00656A92"/>
    <w:rsid w:val="00656DDE"/>
    <w:rsid w:val="0066011D"/>
    <w:rsid w:val="006607C0"/>
    <w:rsid w:val="006613A6"/>
    <w:rsid w:val="006627A2"/>
    <w:rsid w:val="006634E6"/>
    <w:rsid w:val="00663BE6"/>
    <w:rsid w:val="0066415F"/>
    <w:rsid w:val="0066547A"/>
    <w:rsid w:val="006655EE"/>
    <w:rsid w:val="00666D72"/>
    <w:rsid w:val="006675F9"/>
    <w:rsid w:val="00667EE7"/>
    <w:rsid w:val="00670051"/>
    <w:rsid w:val="00670922"/>
    <w:rsid w:val="00670BE1"/>
    <w:rsid w:val="00670E0F"/>
    <w:rsid w:val="0067218F"/>
    <w:rsid w:val="00673C16"/>
    <w:rsid w:val="00673DBC"/>
    <w:rsid w:val="006741F2"/>
    <w:rsid w:val="00674CC3"/>
    <w:rsid w:val="00675C72"/>
    <w:rsid w:val="00676012"/>
    <w:rsid w:val="006760DC"/>
    <w:rsid w:val="00676AF2"/>
    <w:rsid w:val="006771F9"/>
    <w:rsid w:val="006776D7"/>
    <w:rsid w:val="00677A03"/>
    <w:rsid w:val="006804B5"/>
    <w:rsid w:val="00681003"/>
    <w:rsid w:val="006817C9"/>
    <w:rsid w:val="00681D82"/>
    <w:rsid w:val="00682BA6"/>
    <w:rsid w:val="00683ECE"/>
    <w:rsid w:val="00687E2C"/>
    <w:rsid w:val="00690B70"/>
    <w:rsid w:val="006913A9"/>
    <w:rsid w:val="00691F27"/>
    <w:rsid w:val="00692B16"/>
    <w:rsid w:val="00695FC2"/>
    <w:rsid w:val="00696949"/>
    <w:rsid w:val="00697052"/>
    <w:rsid w:val="00697220"/>
    <w:rsid w:val="006A241C"/>
    <w:rsid w:val="006A2E86"/>
    <w:rsid w:val="006A30AF"/>
    <w:rsid w:val="006A46FB"/>
    <w:rsid w:val="006A5E28"/>
    <w:rsid w:val="006A6086"/>
    <w:rsid w:val="006A697B"/>
    <w:rsid w:val="006A7988"/>
    <w:rsid w:val="006A7AFF"/>
    <w:rsid w:val="006B09FB"/>
    <w:rsid w:val="006B1816"/>
    <w:rsid w:val="006B2099"/>
    <w:rsid w:val="006B2FD3"/>
    <w:rsid w:val="006B4091"/>
    <w:rsid w:val="006B50CF"/>
    <w:rsid w:val="006B570D"/>
    <w:rsid w:val="006B5727"/>
    <w:rsid w:val="006B5C2B"/>
    <w:rsid w:val="006B5EE4"/>
    <w:rsid w:val="006B67CF"/>
    <w:rsid w:val="006B6BC3"/>
    <w:rsid w:val="006B6D73"/>
    <w:rsid w:val="006C03B8"/>
    <w:rsid w:val="006C44C2"/>
    <w:rsid w:val="006C5EC9"/>
    <w:rsid w:val="006C6059"/>
    <w:rsid w:val="006C6BE1"/>
    <w:rsid w:val="006C7522"/>
    <w:rsid w:val="006D0580"/>
    <w:rsid w:val="006D2A46"/>
    <w:rsid w:val="006D398D"/>
    <w:rsid w:val="006D56C8"/>
    <w:rsid w:val="006D571C"/>
    <w:rsid w:val="006D5D00"/>
    <w:rsid w:val="006D666D"/>
    <w:rsid w:val="006D6F08"/>
    <w:rsid w:val="006D7811"/>
    <w:rsid w:val="006E062C"/>
    <w:rsid w:val="006E28B7"/>
    <w:rsid w:val="006E3310"/>
    <w:rsid w:val="006E4E39"/>
    <w:rsid w:val="006E565E"/>
    <w:rsid w:val="006E64B5"/>
    <w:rsid w:val="006E673D"/>
    <w:rsid w:val="006E7D3B"/>
    <w:rsid w:val="006F0B65"/>
    <w:rsid w:val="006F0CAD"/>
    <w:rsid w:val="006F1B70"/>
    <w:rsid w:val="006F341D"/>
    <w:rsid w:val="006F3CDE"/>
    <w:rsid w:val="006F4E7C"/>
    <w:rsid w:val="006F58D4"/>
    <w:rsid w:val="006F6D56"/>
    <w:rsid w:val="006F7626"/>
    <w:rsid w:val="0070346E"/>
    <w:rsid w:val="00704406"/>
    <w:rsid w:val="00704EDB"/>
    <w:rsid w:val="0070537F"/>
    <w:rsid w:val="00705480"/>
    <w:rsid w:val="00705753"/>
    <w:rsid w:val="00706028"/>
    <w:rsid w:val="00706101"/>
    <w:rsid w:val="00707072"/>
    <w:rsid w:val="00707706"/>
    <w:rsid w:val="00707D61"/>
    <w:rsid w:val="00712287"/>
    <w:rsid w:val="007123B6"/>
    <w:rsid w:val="00712772"/>
    <w:rsid w:val="00712E40"/>
    <w:rsid w:val="007146AF"/>
    <w:rsid w:val="007148D3"/>
    <w:rsid w:val="00715B9A"/>
    <w:rsid w:val="0071798B"/>
    <w:rsid w:val="00720105"/>
    <w:rsid w:val="00720376"/>
    <w:rsid w:val="007205B8"/>
    <w:rsid w:val="00721205"/>
    <w:rsid w:val="00721593"/>
    <w:rsid w:val="007231E6"/>
    <w:rsid w:val="00726EA6"/>
    <w:rsid w:val="00726ED5"/>
    <w:rsid w:val="00727208"/>
    <w:rsid w:val="00727680"/>
    <w:rsid w:val="007348B1"/>
    <w:rsid w:val="00734B23"/>
    <w:rsid w:val="007362A6"/>
    <w:rsid w:val="00736D7D"/>
    <w:rsid w:val="00740344"/>
    <w:rsid w:val="00740E58"/>
    <w:rsid w:val="00741C68"/>
    <w:rsid w:val="00742612"/>
    <w:rsid w:val="00742E3D"/>
    <w:rsid w:val="00743018"/>
    <w:rsid w:val="0074405B"/>
    <w:rsid w:val="00744142"/>
    <w:rsid w:val="007445A0"/>
    <w:rsid w:val="00744ECC"/>
    <w:rsid w:val="0074524B"/>
    <w:rsid w:val="007460A0"/>
    <w:rsid w:val="00747751"/>
    <w:rsid w:val="00747B4D"/>
    <w:rsid w:val="00747D8B"/>
    <w:rsid w:val="00750580"/>
    <w:rsid w:val="00751228"/>
    <w:rsid w:val="007535D6"/>
    <w:rsid w:val="00753CAE"/>
    <w:rsid w:val="00754B9B"/>
    <w:rsid w:val="007571E1"/>
    <w:rsid w:val="007604B2"/>
    <w:rsid w:val="00763989"/>
    <w:rsid w:val="00764B17"/>
    <w:rsid w:val="00765281"/>
    <w:rsid w:val="00765787"/>
    <w:rsid w:val="00766BAD"/>
    <w:rsid w:val="00767A0C"/>
    <w:rsid w:val="007716C3"/>
    <w:rsid w:val="00772C01"/>
    <w:rsid w:val="007730BD"/>
    <w:rsid w:val="007755F2"/>
    <w:rsid w:val="00775BC4"/>
    <w:rsid w:val="00775C76"/>
    <w:rsid w:val="00776971"/>
    <w:rsid w:val="00777025"/>
    <w:rsid w:val="00780339"/>
    <w:rsid w:val="00780466"/>
    <w:rsid w:val="007804ED"/>
    <w:rsid w:val="0078177E"/>
    <w:rsid w:val="0078242F"/>
    <w:rsid w:val="00782F19"/>
    <w:rsid w:val="0078304C"/>
    <w:rsid w:val="00783673"/>
    <w:rsid w:val="00783800"/>
    <w:rsid w:val="00783E9E"/>
    <w:rsid w:val="00785490"/>
    <w:rsid w:val="00790829"/>
    <w:rsid w:val="007913AC"/>
    <w:rsid w:val="007925EA"/>
    <w:rsid w:val="00793CD8"/>
    <w:rsid w:val="00793EEA"/>
    <w:rsid w:val="00795C92"/>
    <w:rsid w:val="00796231"/>
    <w:rsid w:val="007A000A"/>
    <w:rsid w:val="007A18AB"/>
    <w:rsid w:val="007A1CB3"/>
    <w:rsid w:val="007A306F"/>
    <w:rsid w:val="007A3A3A"/>
    <w:rsid w:val="007A3FE1"/>
    <w:rsid w:val="007A4031"/>
    <w:rsid w:val="007A43A6"/>
    <w:rsid w:val="007A554B"/>
    <w:rsid w:val="007A58A6"/>
    <w:rsid w:val="007A5C78"/>
    <w:rsid w:val="007A7495"/>
    <w:rsid w:val="007B3D2D"/>
    <w:rsid w:val="007B50AE"/>
    <w:rsid w:val="007B51DF"/>
    <w:rsid w:val="007B5ACB"/>
    <w:rsid w:val="007C05DD"/>
    <w:rsid w:val="007C0A75"/>
    <w:rsid w:val="007C1C0A"/>
    <w:rsid w:val="007C2F4B"/>
    <w:rsid w:val="007C342A"/>
    <w:rsid w:val="007C3D18"/>
    <w:rsid w:val="007C40D0"/>
    <w:rsid w:val="007C528D"/>
    <w:rsid w:val="007C60BF"/>
    <w:rsid w:val="007C6A07"/>
    <w:rsid w:val="007C75A1"/>
    <w:rsid w:val="007C77A5"/>
    <w:rsid w:val="007D04E5"/>
    <w:rsid w:val="007D29A3"/>
    <w:rsid w:val="007D3941"/>
    <w:rsid w:val="007D3AD2"/>
    <w:rsid w:val="007D3FDF"/>
    <w:rsid w:val="007D5901"/>
    <w:rsid w:val="007D65C4"/>
    <w:rsid w:val="007D7526"/>
    <w:rsid w:val="007E050B"/>
    <w:rsid w:val="007E082B"/>
    <w:rsid w:val="007E1DCF"/>
    <w:rsid w:val="007E28CE"/>
    <w:rsid w:val="007E324C"/>
    <w:rsid w:val="007E3ED6"/>
    <w:rsid w:val="007E4610"/>
    <w:rsid w:val="007E4715"/>
    <w:rsid w:val="007E505B"/>
    <w:rsid w:val="007E55D7"/>
    <w:rsid w:val="007E5FE8"/>
    <w:rsid w:val="007E6BD5"/>
    <w:rsid w:val="007E7091"/>
    <w:rsid w:val="007F0115"/>
    <w:rsid w:val="007F03C3"/>
    <w:rsid w:val="007F0A6C"/>
    <w:rsid w:val="007F0C73"/>
    <w:rsid w:val="007F1359"/>
    <w:rsid w:val="007F264E"/>
    <w:rsid w:val="007F26F1"/>
    <w:rsid w:val="007F4F0D"/>
    <w:rsid w:val="0080049D"/>
    <w:rsid w:val="00802DCA"/>
    <w:rsid w:val="00802EE2"/>
    <w:rsid w:val="008036DF"/>
    <w:rsid w:val="00803B8A"/>
    <w:rsid w:val="00803FAE"/>
    <w:rsid w:val="0080605F"/>
    <w:rsid w:val="00807786"/>
    <w:rsid w:val="0081055B"/>
    <w:rsid w:val="00811425"/>
    <w:rsid w:val="00811505"/>
    <w:rsid w:val="00811FCB"/>
    <w:rsid w:val="008144B9"/>
    <w:rsid w:val="008158D6"/>
    <w:rsid w:val="0081606D"/>
    <w:rsid w:val="00817196"/>
    <w:rsid w:val="00817EDE"/>
    <w:rsid w:val="00821D89"/>
    <w:rsid w:val="00822943"/>
    <w:rsid w:val="00823016"/>
    <w:rsid w:val="00823081"/>
    <w:rsid w:val="008235DB"/>
    <w:rsid w:val="00824AB4"/>
    <w:rsid w:val="00824B72"/>
    <w:rsid w:val="00824F6D"/>
    <w:rsid w:val="00825C42"/>
    <w:rsid w:val="00825C57"/>
    <w:rsid w:val="00825D25"/>
    <w:rsid w:val="00827D6F"/>
    <w:rsid w:val="00827E1A"/>
    <w:rsid w:val="008311F3"/>
    <w:rsid w:val="00831210"/>
    <w:rsid w:val="00832D13"/>
    <w:rsid w:val="0083765F"/>
    <w:rsid w:val="008376AC"/>
    <w:rsid w:val="0084116C"/>
    <w:rsid w:val="00841CB3"/>
    <w:rsid w:val="00842451"/>
    <w:rsid w:val="008444E8"/>
    <w:rsid w:val="00844E80"/>
    <w:rsid w:val="00846834"/>
    <w:rsid w:val="00846FE7"/>
    <w:rsid w:val="00847403"/>
    <w:rsid w:val="00847FC4"/>
    <w:rsid w:val="008504A2"/>
    <w:rsid w:val="00850CEC"/>
    <w:rsid w:val="00850E9E"/>
    <w:rsid w:val="0085247B"/>
    <w:rsid w:val="00854B3A"/>
    <w:rsid w:val="00855482"/>
    <w:rsid w:val="00856911"/>
    <w:rsid w:val="00857C84"/>
    <w:rsid w:val="00860458"/>
    <w:rsid w:val="008628C0"/>
    <w:rsid w:val="00865044"/>
    <w:rsid w:val="00865151"/>
    <w:rsid w:val="0086540F"/>
    <w:rsid w:val="00865698"/>
    <w:rsid w:val="00865EFB"/>
    <w:rsid w:val="0086740A"/>
    <w:rsid w:val="0086758D"/>
    <w:rsid w:val="008677FD"/>
    <w:rsid w:val="008706D4"/>
    <w:rsid w:val="00870F8A"/>
    <w:rsid w:val="008719A4"/>
    <w:rsid w:val="00871D23"/>
    <w:rsid w:val="00873C26"/>
    <w:rsid w:val="00874312"/>
    <w:rsid w:val="0087437C"/>
    <w:rsid w:val="00875CD7"/>
    <w:rsid w:val="0087646B"/>
    <w:rsid w:val="00876B4D"/>
    <w:rsid w:val="008770B8"/>
    <w:rsid w:val="00877F18"/>
    <w:rsid w:val="0088016B"/>
    <w:rsid w:val="008803CA"/>
    <w:rsid w:val="00880D3E"/>
    <w:rsid w:val="00884366"/>
    <w:rsid w:val="008864B9"/>
    <w:rsid w:val="0089173C"/>
    <w:rsid w:val="00893C6A"/>
    <w:rsid w:val="008940F7"/>
    <w:rsid w:val="00894A88"/>
    <w:rsid w:val="00895386"/>
    <w:rsid w:val="00895660"/>
    <w:rsid w:val="00897036"/>
    <w:rsid w:val="00897414"/>
    <w:rsid w:val="008A0628"/>
    <w:rsid w:val="008A21FF"/>
    <w:rsid w:val="008A2CE2"/>
    <w:rsid w:val="008A30AC"/>
    <w:rsid w:val="008A44B8"/>
    <w:rsid w:val="008A4CCF"/>
    <w:rsid w:val="008A4CE0"/>
    <w:rsid w:val="008A51A8"/>
    <w:rsid w:val="008A54C7"/>
    <w:rsid w:val="008A77D8"/>
    <w:rsid w:val="008A7858"/>
    <w:rsid w:val="008B0483"/>
    <w:rsid w:val="008B120C"/>
    <w:rsid w:val="008B2228"/>
    <w:rsid w:val="008B40D0"/>
    <w:rsid w:val="008B51A0"/>
    <w:rsid w:val="008B592A"/>
    <w:rsid w:val="008B63B8"/>
    <w:rsid w:val="008B7B5C"/>
    <w:rsid w:val="008C0C99"/>
    <w:rsid w:val="008C1BD9"/>
    <w:rsid w:val="008C2017"/>
    <w:rsid w:val="008C4958"/>
    <w:rsid w:val="008C4BAA"/>
    <w:rsid w:val="008C68D0"/>
    <w:rsid w:val="008C6AE8"/>
    <w:rsid w:val="008C721A"/>
    <w:rsid w:val="008C7573"/>
    <w:rsid w:val="008D0655"/>
    <w:rsid w:val="008D0BFB"/>
    <w:rsid w:val="008D0CE9"/>
    <w:rsid w:val="008D0EFD"/>
    <w:rsid w:val="008D12B0"/>
    <w:rsid w:val="008D27D3"/>
    <w:rsid w:val="008D34F1"/>
    <w:rsid w:val="008D39D8"/>
    <w:rsid w:val="008D4336"/>
    <w:rsid w:val="008D45F2"/>
    <w:rsid w:val="008D4603"/>
    <w:rsid w:val="008D6AF5"/>
    <w:rsid w:val="008D6CCC"/>
    <w:rsid w:val="008D6D1A"/>
    <w:rsid w:val="008E05F6"/>
    <w:rsid w:val="008E065E"/>
    <w:rsid w:val="008E0927"/>
    <w:rsid w:val="008E0FF2"/>
    <w:rsid w:val="008E1909"/>
    <w:rsid w:val="008E1B93"/>
    <w:rsid w:val="008E1D88"/>
    <w:rsid w:val="008E25DF"/>
    <w:rsid w:val="008E3445"/>
    <w:rsid w:val="008E6DB3"/>
    <w:rsid w:val="008E76FD"/>
    <w:rsid w:val="008F0B25"/>
    <w:rsid w:val="008F0E93"/>
    <w:rsid w:val="008F109D"/>
    <w:rsid w:val="008F1EAB"/>
    <w:rsid w:val="008F33DC"/>
    <w:rsid w:val="008F477F"/>
    <w:rsid w:val="008F55FE"/>
    <w:rsid w:val="008F6C3F"/>
    <w:rsid w:val="00901136"/>
    <w:rsid w:val="00901380"/>
    <w:rsid w:val="00902350"/>
    <w:rsid w:val="0090336B"/>
    <w:rsid w:val="009053AA"/>
    <w:rsid w:val="009068B4"/>
    <w:rsid w:val="00906939"/>
    <w:rsid w:val="00910B7D"/>
    <w:rsid w:val="00911127"/>
    <w:rsid w:val="00911DFB"/>
    <w:rsid w:val="00912944"/>
    <w:rsid w:val="009139D9"/>
    <w:rsid w:val="0091445A"/>
    <w:rsid w:val="00914AD8"/>
    <w:rsid w:val="00915240"/>
    <w:rsid w:val="00915E3A"/>
    <w:rsid w:val="00916079"/>
    <w:rsid w:val="00916DAC"/>
    <w:rsid w:val="0091703B"/>
    <w:rsid w:val="00917641"/>
    <w:rsid w:val="0091778E"/>
    <w:rsid w:val="00917CE9"/>
    <w:rsid w:val="00920BF2"/>
    <w:rsid w:val="00922010"/>
    <w:rsid w:val="00922A69"/>
    <w:rsid w:val="00926863"/>
    <w:rsid w:val="009270E9"/>
    <w:rsid w:val="00927F40"/>
    <w:rsid w:val="0093103F"/>
    <w:rsid w:val="00931661"/>
    <w:rsid w:val="00931BD9"/>
    <w:rsid w:val="00931F69"/>
    <w:rsid w:val="00934DF8"/>
    <w:rsid w:val="0093601A"/>
    <w:rsid w:val="00936851"/>
    <w:rsid w:val="009368F3"/>
    <w:rsid w:val="00940BAC"/>
    <w:rsid w:val="009414FD"/>
    <w:rsid w:val="00941636"/>
    <w:rsid w:val="0094346C"/>
    <w:rsid w:val="00943742"/>
    <w:rsid w:val="00945C05"/>
    <w:rsid w:val="00946945"/>
    <w:rsid w:val="00947179"/>
    <w:rsid w:val="00947713"/>
    <w:rsid w:val="00947B01"/>
    <w:rsid w:val="009506F9"/>
    <w:rsid w:val="00950DE7"/>
    <w:rsid w:val="00950FBF"/>
    <w:rsid w:val="00951BFD"/>
    <w:rsid w:val="00953920"/>
    <w:rsid w:val="00953D47"/>
    <w:rsid w:val="00956711"/>
    <w:rsid w:val="0095681E"/>
    <w:rsid w:val="00956832"/>
    <w:rsid w:val="009572D4"/>
    <w:rsid w:val="00957337"/>
    <w:rsid w:val="0095740D"/>
    <w:rsid w:val="009579C0"/>
    <w:rsid w:val="00960FEA"/>
    <w:rsid w:val="00961921"/>
    <w:rsid w:val="00961DF7"/>
    <w:rsid w:val="00963C21"/>
    <w:rsid w:val="0096430A"/>
    <w:rsid w:val="009646C1"/>
    <w:rsid w:val="00964C30"/>
    <w:rsid w:val="0096554B"/>
    <w:rsid w:val="0096584A"/>
    <w:rsid w:val="00965C53"/>
    <w:rsid w:val="00967A33"/>
    <w:rsid w:val="00970523"/>
    <w:rsid w:val="00971F08"/>
    <w:rsid w:val="009739E6"/>
    <w:rsid w:val="00975997"/>
    <w:rsid w:val="0097603D"/>
    <w:rsid w:val="00976949"/>
    <w:rsid w:val="00980477"/>
    <w:rsid w:val="0098097C"/>
    <w:rsid w:val="009827EF"/>
    <w:rsid w:val="0098284E"/>
    <w:rsid w:val="00984217"/>
    <w:rsid w:val="00985253"/>
    <w:rsid w:val="009853B3"/>
    <w:rsid w:val="00985CBE"/>
    <w:rsid w:val="00990630"/>
    <w:rsid w:val="009913E0"/>
    <w:rsid w:val="00991761"/>
    <w:rsid w:val="00993727"/>
    <w:rsid w:val="00994DCA"/>
    <w:rsid w:val="00995585"/>
    <w:rsid w:val="009960EC"/>
    <w:rsid w:val="00996D46"/>
    <w:rsid w:val="009970DD"/>
    <w:rsid w:val="00997687"/>
    <w:rsid w:val="009A0FBA"/>
    <w:rsid w:val="009A1601"/>
    <w:rsid w:val="009A330C"/>
    <w:rsid w:val="009A3421"/>
    <w:rsid w:val="009A41F8"/>
    <w:rsid w:val="009A462D"/>
    <w:rsid w:val="009A54C1"/>
    <w:rsid w:val="009A5CBA"/>
    <w:rsid w:val="009A72AE"/>
    <w:rsid w:val="009B19F5"/>
    <w:rsid w:val="009B1F30"/>
    <w:rsid w:val="009B3AC2"/>
    <w:rsid w:val="009B4B77"/>
    <w:rsid w:val="009B4DF4"/>
    <w:rsid w:val="009B564E"/>
    <w:rsid w:val="009B76F3"/>
    <w:rsid w:val="009B7E87"/>
    <w:rsid w:val="009C08B0"/>
    <w:rsid w:val="009C2A60"/>
    <w:rsid w:val="009C403E"/>
    <w:rsid w:val="009C4EDC"/>
    <w:rsid w:val="009C5120"/>
    <w:rsid w:val="009C527F"/>
    <w:rsid w:val="009C748E"/>
    <w:rsid w:val="009D0B72"/>
    <w:rsid w:val="009D1618"/>
    <w:rsid w:val="009D28C4"/>
    <w:rsid w:val="009D4FF0"/>
    <w:rsid w:val="009D5983"/>
    <w:rsid w:val="009D5E2A"/>
    <w:rsid w:val="009D6AE4"/>
    <w:rsid w:val="009D703C"/>
    <w:rsid w:val="009D718F"/>
    <w:rsid w:val="009D74E1"/>
    <w:rsid w:val="009D7A4A"/>
    <w:rsid w:val="009E068F"/>
    <w:rsid w:val="009E14E0"/>
    <w:rsid w:val="009E35DB"/>
    <w:rsid w:val="009E407B"/>
    <w:rsid w:val="009E47A3"/>
    <w:rsid w:val="009E537B"/>
    <w:rsid w:val="009E5902"/>
    <w:rsid w:val="009E6AA6"/>
    <w:rsid w:val="009E6AC2"/>
    <w:rsid w:val="009E6F0C"/>
    <w:rsid w:val="009F08F3"/>
    <w:rsid w:val="009F1ECE"/>
    <w:rsid w:val="009F21AA"/>
    <w:rsid w:val="009F344F"/>
    <w:rsid w:val="009F3D98"/>
    <w:rsid w:val="009F4360"/>
    <w:rsid w:val="009F47FE"/>
    <w:rsid w:val="009F7363"/>
    <w:rsid w:val="00A00F1F"/>
    <w:rsid w:val="00A032E4"/>
    <w:rsid w:val="00A048A8"/>
    <w:rsid w:val="00A04F49"/>
    <w:rsid w:val="00A0651F"/>
    <w:rsid w:val="00A07855"/>
    <w:rsid w:val="00A10C8A"/>
    <w:rsid w:val="00A11AB7"/>
    <w:rsid w:val="00A1305E"/>
    <w:rsid w:val="00A1364F"/>
    <w:rsid w:val="00A13991"/>
    <w:rsid w:val="00A13E54"/>
    <w:rsid w:val="00A1595C"/>
    <w:rsid w:val="00A17F63"/>
    <w:rsid w:val="00A2193B"/>
    <w:rsid w:val="00A2351A"/>
    <w:rsid w:val="00A23945"/>
    <w:rsid w:val="00A24365"/>
    <w:rsid w:val="00A249D6"/>
    <w:rsid w:val="00A24C33"/>
    <w:rsid w:val="00A264A9"/>
    <w:rsid w:val="00A27785"/>
    <w:rsid w:val="00A30187"/>
    <w:rsid w:val="00A31044"/>
    <w:rsid w:val="00A32662"/>
    <w:rsid w:val="00A3448A"/>
    <w:rsid w:val="00A35099"/>
    <w:rsid w:val="00A35130"/>
    <w:rsid w:val="00A354DD"/>
    <w:rsid w:val="00A36297"/>
    <w:rsid w:val="00A3751A"/>
    <w:rsid w:val="00A4191F"/>
    <w:rsid w:val="00A41E2B"/>
    <w:rsid w:val="00A44B11"/>
    <w:rsid w:val="00A45B74"/>
    <w:rsid w:val="00A50F35"/>
    <w:rsid w:val="00A50FA9"/>
    <w:rsid w:val="00A521B4"/>
    <w:rsid w:val="00A52E1D"/>
    <w:rsid w:val="00A55F73"/>
    <w:rsid w:val="00A56D3F"/>
    <w:rsid w:val="00A571A6"/>
    <w:rsid w:val="00A572BF"/>
    <w:rsid w:val="00A60917"/>
    <w:rsid w:val="00A61499"/>
    <w:rsid w:val="00A622C6"/>
    <w:rsid w:val="00A62A77"/>
    <w:rsid w:val="00A631EF"/>
    <w:rsid w:val="00A63483"/>
    <w:rsid w:val="00A64EC7"/>
    <w:rsid w:val="00A654B7"/>
    <w:rsid w:val="00A657D7"/>
    <w:rsid w:val="00A65935"/>
    <w:rsid w:val="00A660AC"/>
    <w:rsid w:val="00A670A6"/>
    <w:rsid w:val="00A674D5"/>
    <w:rsid w:val="00A67E6C"/>
    <w:rsid w:val="00A71B99"/>
    <w:rsid w:val="00A739D0"/>
    <w:rsid w:val="00A74E64"/>
    <w:rsid w:val="00A758C5"/>
    <w:rsid w:val="00A761D4"/>
    <w:rsid w:val="00A77EC4"/>
    <w:rsid w:val="00A80BAB"/>
    <w:rsid w:val="00A8392D"/>
    <w:rsid w:val="00A85AE7"/>
    <w:rsid w:val="00A9043E"/>
    <w:rsid w:val="00A908BD"/>
    <w:rsid w:val="00A92879"/>
    <w:rsid w:val="00A92ACF"/>
    <w:rsid w:val="00A93F17"/>
    <w:rsid w:val="00A9442A"/>
    <w:rsid w:val="00A96CC6"/>
    <w:rsid w:val="00AA016F"/>
    <w:rsid w:val="00AA18D0"/>
    <w:rsid w:val="00AA1ED6"/>
    <w:rsid w:val="00AA2677"/>
    <w:rsid w:val="00AA2FDC"/>
    <w:rsid w:val="00AA50D3"/>
    <w:rsid w:val="00AA51D6"/>
    <w:rsid w:val="00AA56AA"/>
    <w:rsid w:val="00AB0BC8"/>
    <w:rsid w:val="00AB11CA"/>
    <w:rsid w:val="00AB14D9"/>
    <w:rsid w:val="00AB1EAE"/>
    <w:rsid w:val="00AB2AA4"/>
    <w:rsid w:val="00AB3A11"/>
    <w:rsid w:val="00AB4AB8"/>
    <w:rsid w:val="00AB54EC"/>
    <w:rsid w:val="00AB655E"/>
    <w:rsid w:val="00AB7AE6"/>
    <w:rsid w:val="00AC007F"/>
    <w:rsid w:val="00AC1910"/>
    <w:rsid w:val="00AC294B"/>
    <w:rsid w:val="00AC297D"/>
    <w:rsid w:val="00AC2ECD"/>
    <w:rsid w:val="00AC3119"/>
    <w:rsid w:val="00AC4138"/>
    <w:rsid w:val="00AC468A"/>
    <w:rsid w:val="00AC47B3"/>
    <w:rsid w:val="00AC49FB"/>
    <w:rsid w:val="00AC5A10"/>
    <w:rsid w:val="00AC6D53"/>
    <w:rsid w:val="00AD0348"/>
    <w:rsid w:val="00AD0AA3"/>
    <w:rsid w:val="00AD123F"/>
    <w:rsid w:val="00AD3168"/>
    <w:rsid w:val="00AD3F94"/>
    <w:rsid w:val="00AD4A5A"/>
    <w:rsid w:val="00AD6DFA"/>
    <w:rsid w:val="00AD7F95"/>
    <w:rsid w:val="00AE02DB"/>
    <w:rsid w:val="00AE0905"/>
    <w:rsid w:val="00AE27AC"/>
    <w:rsid w:val="00AE40E0"/>
    <w:rsid w:val="00AE4DBA"/>
    <w:rsid w:val="00AE4F07"/>
    <w:rsid w:val="00AE62E2"/>
    <w:rsid w:val="00AE7446"/>
    <w:rsid w:val="00AF0D31"/>
    <w:rsid w:val="00AF0DB6"/>
    <w:rsid w:val="00AF1559"/>
    <w:rsid w:val="00AF1C5D"/>
    <w:rsid w:val="00AF2026"/>
    <w:rsid w:val="00AF42D7"/>
    <w:rsid w:val="00AF43AB"/>
    <w:rsid w:val="00AF50C3"/>
    <w:rsid w:val="00AF53B6"/>
    <w:rsid w:val="00AF5CB5"/>
    <w:rsid w:val="00B0035B"/>
    <w:rsid w:val="00B00379"/>
    <w:rsid w:val="00B006FE"/>
    <w:rsid w:val="00B007CB"/>
    <w:rsid w:val="00B010BF"/>
    <w:rsid w:val="00B02AA9"/>
    <w:rsid w:val="00B02FA3"/>
    <w:rsid w:val="00B03C4C"/>
    <w:rsid w:val="00B0419A"/>
    <w:rsid w:val="00B05084"/>
    <w:rsid w:val="00B05BA5"/>
    <w:rsid w:val="00B0611B"/>
    <w:rsid w:val="00B10B32"/>
    <w:rsid w:val="00B136CA"/>
    <w:rsid w:val="00B14FE8"/>
    <w:rsid w:val="00B157F9"/>
    <w:rsid w:val="00B167F1"/>
    <w:rsid w:val="00B20256"/>
    <w:rsid w:val="00B20D09"/>
    <w:rsid w:val="00B211B2"/>
    <w:rsid w:val="00B21BE8"/>
    <w:rsid w:val="00B253E6"/>
    <w:rsid w:val="00B2763F"/>
    <w:rsid w:val="00B27AAC"/>
    <w:rsid w:val="00B30591"/>
    <w:rsid w:val="00B30929"/>
    <w:rsid w:val="00B31239"/>
    <w:rsid w:val="00B34AC3"/>
    <w:rsid w:val="00B372AA"/>
    <w:rsid w:val="00B37BC2"/>
    <w:rsid w:val="00B40445"/>
    <w:rsid w:val="00B40ECB"/>
    <w:rsid w:val="00B413D6"/>
    <w:rsid w:val="00B41888"/>
    <w:rsid w:val="00B41DF0"/>
    <w:rsid w:val="00B425F8"/>
    <w:rsid w:val="00B42BDB"/>
    <w:rsid w:val="00B43407"/>
    <w:rsid w:val="00B45A52"/>
    <w:rsid w:val="00B46175"/>
    <w:rsid w:val="00B474B4"/>
    <w:rsid w:val="00B514E7"/>
    <w:rsid w:val="00B51BFF"/>
    <w:rsid w:val="00B51F19"/>
    <w:rsid w:val="00B548DA"/>
    <w:rsid w:val="00B5748F"/>
    <w:rsid w:val="00B60727"/>
    <w:rsid w:val="00B6145A"/>
    <w:rsid w:val="00B61615"/>
    <w:rsid w:val="00B61BB1"/>
    <w:rsid w:val="00B61E56"/>
    <w:rsid w:val="00B62AAA"/>
    <w:rsid w:val="00B650C1"/>
    <w:rsid w:val="00B664C7"/>
    <w:rsid w:val="00B666BC"/>
    <w:rsid w:val="00B669AD"/>
    <w:rsid w:val="00B66C81"/>
    <w:rsid w:val="00B67691"/>
    <w:rsid w:val="00B706A1"/>
    <w:rsid w:val="00B70D90"/>
    <w:rsid w:val="00B739F6"/>
    <w:rsid w:val="00B74B6C"/>
    <w:rsid w:val="00B81A6C"/>
    <w:rsid w:val="00B81FDF"/>
    <w:rsid w:val="00B837ED"/>
    <w:rsid w:val="00B83B64"/>
    <w:rsid w:val="00B85DE5"/>
    <w:rsid w:val="00B90580"/>
    <w:rsid w:val="00B907EA"/>
    <w:rsid w:val="00B90F73"/>
    <w:rsid w:val="00B93188"/>
    <w:rsid w:val="00B93B59"/>
    <w:rsid w:val="00B9406A"/>
    <w:rsid w:val="00B940C7"/>
    <w:rsid w:val="00B959EC"/>
    <w:rsid w:val="00B97D9D"/>
    <w:rsid w:val="00BA04E2"/>
    <w:rsid w:val="00BA181D"/>
    <w:rsid w:val="00BA1FE5"/>
    <w:rsid w:val="00BA2280"/>
    <w:rsid w:val="00BA2A08"/>
    <w:rsid w:val="00BA4150"/>
    <w:rsid w:val="00BA52AA"/>
    <w:rsid w:val="00BA5641"/>
    <w:rsid w:val="00BA56D2"/>
    <w:rsid w:val="00BA5A3F"/>
    <w:rsid w:val="00BA76E0"/>
    <w:rsid w:val="00BB2A25"/>
    <w:rsid w:val="00BB346D"/>
    <w:rsid w:val="00BB3E6E"/>
    <w:rsid w:val="00BB40A1"/>
    <w:rsid w:val="00BB51BB"/>
    <w:rsid w:val="00BB51E9"/>
    <w:rsid w:val="00BB5430"/>
    <w:rsid w:val="00BB598E"/>
    <w:rsid w:val="00BB6996"/>
    <w:rsid w:val="00BC0C69"/>
    <w:rsid w:val="00BC0E6A"/>
    <w:rsid w:val="00BC0FDC"/>
    <w:rsid w:val="00BC1DBA"/>
    <w:rsid w:val="00BC1DEE"/>
    <w:rsid w:val="00BC29AB"/>
    <w:rsid w:val="00BC3053"/>
    <w:rsid w:val="00BC4D2E"/>
    <w:rsid w:val="00BC6412"/>
    <w:rsid w:val="00BC762C"/>
    <w:rsid w:val="00BD48AC"/>
    <w:rsid w:val="00BD5F1A"/>
    <w:rsid w:val="00BD63B6"/>
    <w:rsid w:val="00BD70C3"/>
    <w:rsid w:val="00BE00AA"/>
    <w:rsid w:val="00BE0792"/>
    <w:rsid w:val="00BE1234"/>
    <w:rsid w:val="00BE23A9"/>
    <w:rsid w:val="00BE2D8C"/>
    <w:rsid w:val="00BE2FA6"/>
    <w:rsid w:val="00BE32F5"/>
    <w:rsid w:val="00BE333F"/>
    <w:rsid w:val="00BE7406"/>
    <w:rsid w:val="00BE7603"/>
    <w:rsid w:val="00BF058E"/>
    <w:rsid w:val="00BF0B1D"/>
    <w:rsid w:val="00BF16CF"/>
    <w:rsid w:val="00BF20C7"/>
    <w:rsid w:val="00BF3279"/>
    <w:rsid w:val="00BF5B78"/>
    <w:rsid w:val="00BF74C7"/>
    <w:rsid w:val="00C00DEB"/>
    <w:rsid w:val="00C015F1"/>
    <w:rsid w:val="00C0173E"/>
    <w:rsid w:val="00C01973"/>
    <w:rsid w:val="00C01F33"/>
    <w:rsid w:val="00C0286B"/>
    <w:rsid w:val="00C02CC6"/>
    <w:rsid w:val="00C040F7"/>
    <w:rsid w:val="00C041B0"/>
    <w:rsid w:val="00C044AB"/>
    <w:rsid w:val="00C055AB"/>
    <w:rsid w:val="00C05706"/>
    <w:rsid w:val="00C06AF4"/>
    <w:rsid w:val="00C07377"/>
    <w:rsid w:val="00C10478"/>
    <w:rsid w:val="00C11122"/>
    <w:rsid w:val="00C11575"/>
    <w:rsid w:val="00C1189B"/>
    <w:rsid w:val="00C11B5A"/>
    <w:rsid w:val="00C11C01"/>
    <w:rsid w:val="00C12107"/>
    <w:rsid w:val="00C12C66"/>
    <w:rsid w:val="00C138FB"/>
    <w:rsid w:val="00C145B6"/>
    <w:rsid w:val="00C14D4B"/>
    <w:rsid w:val="00C154BB"/>
    <w:rsid w:val="00C17E6F"/>
    <w:rsid w:val="00C20190"/>
    <w:rsid w:val="00C20A44"/>
    <w:rsid w:val="00C223E6"/>
    <w:rsid w:val="00C23971"/>
    <w:rsid w:val="00C24DFB"/>
    <w:rsid w:val="00C26F91"/>
    <w:rsid w:val="00C26FAA"/>
    <w:rsid w:val="00C279B5"/>
    <w:rsid w:val="00C27C45"/>
    <w:rsid w:val="00C27E0C"/>
    <w:rsid w:val="00C30437"/>
    <w:rsid w:val="00C317A7"/>
    <w:rsid w:val="00C34167"/>
    <w:rsid w:val="00C3719D"/>
    <w:rsid w:val="00C372D0"/>
    <w:rsid w:val="00C41A9D"/>
    <w:rsid w:val="00C420EA"/>
    <w:rsid w:val="00C43C3B"/>
    <w:rsid w:val="00C44AE7"/>
    <w:rsid w:val="00C4791A"/>
    <w:rsid w:val="00C47A84"/>
    <w:rsid w:val="00C50C02"/>
    <w:rsid w:val="00C536F2"/>
    <w:rsid w:val="00C5386C"/>
    <w:rsid w:val="00C54995"/>
    <w:rsid w:val="00C54D41"/>
    <w:rsid w:val="00C5639D"/>
    <w:rsid w:val="00C56496"/>
    <w:rsid w:val="00C60783"/>
    <w:rsid w:val="00C60E2B"/>
    <w:rsid w:val="00C644F7"/>
    <w:rsid w:val="00C64672"/>
    <w:rsid w:val="00C66356"/>
    <w:rsid w:val="00C70697"/>
    <w:rsid w:val="00C7229E"/>
    <w:rsid w:val="00C72EF4"/>
    <w:rsid w:val="00C73B76"/>
    <w:rsid w:val="00C74D92"/>
    <w:rsid w:val="00C75608"/>
    <w:rsid w:val="00C75857"/>
    <w:rsid w:val="00C759CB"/>
    <w:rsid w:val="00C75D2F"/>
    <w:rsid w:val="00C767BE"/>
    <w:rsid w:val="00C76963"/>
    <w:rsid w:val="00C76E3C"/>
    <w:rsid w:val="00C76E76"/>
    <w:rsid w:val="00C81534"/>
    <w:rsid w:val="00C81568"/>
    <w:rsid w:val="00C81698"/>
    <w:rsid w:val="00C82B92"/>
    <w:rsid w:val="00C84BF1"/>
    <w:rsid w:val="00C84C66"/>
    <w:rsid w:val="00C856D5"/>
    <w:rsid w:val="00C86997"/>
    <w:rsid w:val="00C87CDD"/>
    <w:rsid w:val="00C9027A"/>
    <w:rsid w:val="00C905DF"/>
    <w:rsid w:val="00C9068E"/>
    <w:rsid w:val="00C9363F"/>
    <w:rsid w:val="00C93C4B"/>
    <w:rsid w:val="00C94175"/>
    <w:rsid w:val="00C944AB"/>
    <w:rsid w:val="00C9451D"/>
    <w:rsid w:val="00C9474E"/>
    <w:rsid w:val="00C95B40"/>
    <w:rsid w:val="00C96107"/>
    <w:rsid w:val="00C968EC"/>
    <w:rsid w:val="00C9793A"/>
    <w:rsid w:val="00C97B29"/>
    <w:rsid w:val="00CA0805"/>
    <w:rsid w:val="00CA0A10"/>
    <w:rsid w:val="00CA1ED8"/>
    <w:rsid w:val="00CA3172"/>
    <w:rsid w:val="00CA61FB"/>
    <w:rsid w:val="00CA6CFD"/>
    <w:rsid w:val="00CA7170"/>
    <w:rsid w:val="00CB0DE9"/>
    <w:rsid w:val="00CB1F63"/>
    <w:rsid w:val="00CB54FB"/>
    <w:rsid w:val="00CB585C"/>
    <w:rsid w:val="00CB7170"/>
    <w:rsid w:val="00CC040E"/>
    <w:rsid w:val="00CC0818"/>
    <w:rsid w:val="00CC1083"/>
    <w:rsid w:val="00CC111F"/>
    <w:rsid w:val="00CC2011"/>
    <w:rsid w:val="00CC3879"/>
    <w:rsid w:val="00CC3EA0"/>
    <w:rsid w:val="00CC4FF9"/>
    <w:rsid w:val="00CC565C"/>
    <w:rsid w:val="00CC594A"/>
    <w:rsid w:val="00CC7B45"/>
    <w:rsid w:val="00CD0835"/>
    <w:rsid w:val="00CD1188"/>
    <w:rsid w:val="00CD1D2E"/>
    <w:rsid w:val="00CD2ED1"/>
    <w:rsid w:val="00CD337B"/>
    <w:rsid w:val="00CD3A90"/>
    <w:rsid w:val="00CD3F6B"/>
    <w:rsid w:val="00CD5A07"/>
    <w:rsid w:val="00CD5C14"/>
    <w:rsid w:val="00CD7AD3"/>
    <w:rsid w:val="00CE032F"/>
    <w:rsid w:val="00CE0424"/>
    <w:rsid w:val="00CE077B"/>
    <w:rsid w:val="00CE2300"/>
    <w:rsid w:val="00CE3DF2"/>
    <w:rsid w:val="00CE3F6C"/>
    <w:rsid w:val="00CE5905"/>
    <w:rsid w:val="00CE7561"/>
    <w:rsid w:val="00CF1354"/>
    <w:rsid w:val="00CF3332"/>
    <w:rsid w:val="00CF3B1F"/>
    <w:rsid w:val="00CF3BF6"/>
    <w:rsid w:val="00CF46BC"/>
    <w:rsid w:val="00CF4E02"/>
    <w:rsid w:val="00CF4E77"/>
    <w:rsid w:val="00CF50AB"/>
    <w:rsid w:val="00CF625B"/>
    <w:rsid w:val="00CF687E"/>
    <w:rsid w:val="00CF7216"/>
    <w:rsid w:val="00CF7673"/>
    <w:rsid w:val="00D00339"/>
    <w:rsid w:val="00D0194F"/>
    <w:rsid w:val="00D0252F"/>
    <w:rsid w:val="00D02F7A"/>
    <w:rsid w:val="00D0339E"/>
    <w:rsid w:val="00D0349B"/>
    <w:rsid w:val="00D03CBF"/>
    <w:rsid w:val="00D04434"/>
    <w:rsid w:val="00D04BD0"/>
    <w:rsid w:val="00D1001F"/>
    <w:rsid w:val="00D10249"/>
    <w:rsid w:val="00D1108E"/>
    <w:rsid w:val="00D115C3"/>
    <w:rsid w:val="00D11897"/>
    <w:rsid w:val="00D11F71"/>
    <w:rsid w:val="00D13135"/>
    <w:rsid w:val="00D13ABF"/>
    <w:rsid w:val="00D13E4E"/>
    <w:rsid w:val="00D15089"/>
    <w:rsid w:val="00D1723B"/>
    <w:rsid w:val="00D215AD"/>
    <w:rsid w:val="00D21D54"/>
    <w:rsid w:val="00D22874"/>
    <w:rsid w:val="00D22FBA"/>
    <w:rsid w:val="00D239A7"/>
    <w:rsid w:val="00D23F47"/>
    <w:rsid w:val="00D2503E"/>
    <w:rsid w:val="00D25B3F"/>
    <w:rsid w:val="00D3005B"/>
    <w:rsid w:val="00D3101D"/>
    <w:rsid w:val="00D32166"/>
    <w:rsid w:val="00D33059"/>
    <w:rsid w:val="00D35234"/>
    <w:rsid w:val="00D35F56"/>
    <w:rsid w:val="00D36E71"/>
    <w:rsid w:val="00D37D87"/>
    <w:rsid w:val="00D40B33"/>
    <w:rsid w:val="00D426CB"/>
    <w:rsid w:val="00D4318F"/>
    <w:rsid w:val="00D438BF"/>
    <w:rsid w:val="00D440F8"/>
    <w:rsid w:val="00D45637"/>
    <w:rsid w:val="00D46DC9"/>
    <w:rsid w:val="00D46FA5"/>
    <w:rsid w:val="00D501A9"/>
    <w:rsid w:val="00D511FF"/>
    <w:rsid w:val="00D51446"/>
    <w:rsid w:val="00D537D6"/>
    <w:rsid w:val="00D546FF"/>
    <w:rsid w:val="00D54AF4"/>
    <w:rsid w:val="00D55AD5"/>
    <w:rsid w:val="00D55B51"/>
    <w:rsid w:val="00D55C96"/>
    <w:rsid w:val="00D576CA"/>
    <w:rsid w:val="00D601A6"/>
    <w:rsid w:val="00D60E13"/>
    <w:rsid w:val="00D61AF5"/>
    <w:rsid w:val="00D62CD5"/>
    <w:rsid w:val="00D63268"/>
    <w:rsid w:val="00D63C72"/>
    <w:rsid w:val="00D6435F"/>
    <w:rsid w:val="00D64A1D"/>
    <w:rsid w:val="00D652B5"/>
    <w:rsid w:val="00D66147"/>
    <w:rsid w:val="00D66155"/>
    <w:rsid w:val="00D661B0"/>
    <w:rsid w:val="00D708B0"/>
    <w:rsid w:val="00D70E73"/>
    <w:rsid w:val="00D71BB9"/>
    <w:rsid w:val="00D723D7"/>
    <w:rsid w:val="00D75A8B"/>
    <w:rsid w:val="00D76F86"/>
    <w:rsid w:val="00D77B1D"/>
    <w:rsid w:val="00D8021F"/>
    <w:rsid w:val="00D80383"/>
    <w:rsid w:val="00D815D6"/>
    <w:rsid w:val="00D8203B"/>
    <w:rsid w:val="00D823C6"/>
    <w:rsid w:val="00D83426"/>
    <w:rsid w:val="00D85EF7"/>
    <w:rsid w:val="00D86CA3"/>
    <w:rsid w:val="00D871CE"/>
    <w:rsid w:val="00D9196D"/>
    <w:rsid w:val="00D920A7"/>
    <w:rsid w:val="00D92982"/>
    <w:rsid w:val="00D93E15"/>
    <w:rsid w:val="00D95A22"/>
    <w:rsid w:val="00D965C0"/>
    <w:rsid w:val="00D9694C"/>
    <w:rsid w:val="00DA0701"/>
    <w:rsid w:val="00DA305E"/>
    <w:rsid w:val="00DA5007"/>
    <w:rsid w:val="00DA536E"/>
    <w:rsid w:val="00DA5417"/>
    <w:rsid w:val="00DA56E8"/>
    <w:rsid w:val="00DA67A6"/>
    <w:rsid w:val="00DB06D8"/>
    <w:rsid w:val="00DB0A9F"/>
    <w:rsid w:val="00DB2B15"/>
    <w:rsid w:val="00DB377D"/>
    <w:rsid w:val="00DB7182"/>
    <w:rsid w:val="00DB7A15"/>
    <w:rsid w:val="00DC21E1"/>
    <w:rsid w:val="00DC2396"/>
    <w:rsid w:val="00DC2D36"/>
    <w:rsid w:val="00DC33E4"/>
    <w:rsid w:val="00DC3DD8"/>
    <w:rsid w:val="00DC53EF"/>
    <w:rsid w:val="00DC552C"/>
    <w:rsid w:val="00DC6843"/>
    <w:rsid w:val="00DC6D71"/>
    <w:rsid w:val="00DC7FEA"/>
    <w:rsid w:val="00DD1F9F"/>
    <w:rsid w:val="00DD288E"/>
    <w:rsid w:val="00DD7867"/>
    <w:rsid w:val="00DE227E"/>
    <w:rsid w:val="00DE3A33"/>
    <w:rsid w:val="00DE5608"/>
    <w:rsid w:val="00DE58D0"/>
    <w:rsid w:val="00DE654F"/>
    <w:rsid w:val="00DF086B"/>
    <w:rsid w:val="00DF0B6E"/>
    <w:rsid w:val="00DF15E0"/>
    <w:rsid w:val="00DF20A7"/>
    <w:rsid w:val="00DF37A0"/>
    <w:rsid w:val="00DF5C56"/>
    <w:rsid w:val="00E008FB"/>
    <w:rsid w:val="00E009BE"/>
    <w:rsid w:val="00E02CFE"/>
    <w:rsid w:val="00E03DCD"/>
    <w:rsid w:val="00E05B34"/>
    <w:rsid w:val="00E072F4"/>
    <w:rsid w:val="00E110E7"/>
    <w:rsid w:val="00E11B20"/>
    <w:rsid w:val="00E12DFF"/>
    <w:rsid w:val="00E141E3"/>
    <w:rsid w:val="00E156FA"/>
    <w:rsid w:val="00E174CA"/>
    <w:rsid w:val="00E17970"/>
    <w:rsid w:val="00E17B45"/>
    <w:rsid w:val="00E17FA2"/>
    <w:rsid w:val="00E22330"/>
    <w:rsid w:val="00E25B80"/>
    <w:rsid w:val="00E2769E"/>
    <w:rsid w:val="00E30776"/>
    <w:rsid w:val="00E30B5A"/>
    <w:rsid w:val="00E3123D"/>
    <w:rsid w:val="00E31461"/>
    <w:rsid w:val="00E31C0F"/>
    <w:rsid w:val="00E31D43"/>
    <w:rsid w:val="00E32608"/>
    <w:rsid w:val="00E328C4"/>
    <w:rsid w:val="00E32C7B"/>
    <w:rsid w:val="00E33DDD"/>
    <w:rsid w:val="00E33E4A"/>
    <w:rsid w:val="00E34188"/>
    <w:rsid w:val="00E345CD"/>
    <w:rsid w:val="00E34B6E"/>
    <w:rsid w:val="00E35559"/>
    <w:rsid w:val="00E36156"/>
    <w:rsid w:val="00E371BC"/>
    <w:rsid w:val="00E3723A"/>
    <w:rsid w:val="00E372E0"/>
    <w:rsid w:val="00E37860"/>
    <w:rsid w:val="00E41503"/>
    <w:rsid w:val="00E446F1"/>
    <w:rsid w:val="00E44B94"/>
    <w:rsid w:val="00E46886"/>
    <w:rsid w:val="00E47AEF"/>
    <w:rsid w:val="00E52397"/>
    <w:rsid w:val="00E53037"/>
    <w:rsid w:val="00E53B29"/>
    <w:rsid w:val="00E53B75"/>
    <w:rsid w:val="00E54E3B"/>
    <w:rsid w:val="00E557CC"/>
    <w:rsid w:val="00E57565"/>
    <w:rsid w:val="00E57A1C"/>
    <w:rsid w:val="00E604AE"/>
    <w:rsid w:val="00E62692"/>
    <w:rsid w:val="00E62B73"/>
    <w:rsid w:val="00E63838"/>
    <w:rsid w:val="00E64022"/>
    <w:rsid w:val="00E64434"/>
    <w:rsid w:val="00E65796"/>
    <w:rsid w:val="00E666C9"/>
    <w:rsid w:val="00E674EE"/>
    <w:rsid w:val="00E67C51"/>
    <w:rsid w:val="00E70D86"/>
    <w:rsid w:val="00E7294A"/>
    <w:rsid w:val="00E72EFC"/>
    <w:rsid w:val="00E732FD"/>
    <w:rsid w:val="00E758EC"/>
    <w:rsid w:val="00E7599C"/>
    <w:rsid w:val="00E76569"/>
    <w:rsid w:val="00E81B9B"/>
    <w:rsid w:val="00E8234C"/>
    <w:rsid w:val="00E83AA9"/>
    <w:rsid w:val="00E83BE0"/>
    <w:rsid w:val="00E85928"/>
    <w:rsid w:val="00E87822"/>
    <w:rsid w:val="00E90395"/>
    <w:rsid w:val="00E90E49"/>
    <w:rsid w:val="00E91756"/>
    <w:rsid w:val="00E917F9"/>
    <w:rsid w:val="00E91E36"/>
    <w:rsid w:val="00E9291C"/>
    <w:rsid w:val="00E93FFE"/>
    <w:rsid w:val="00E94B98"/>
    <w:rsid w:val="00E94F8A"/>
    <w:rsid w:val="00E95EE7"/>
    <w:rsid w:val="00E9719C"/>
    <w:rsid w:val="00EA3284"/>
    <w:rsid w:val="00EA5B73"/>
    <w:rsid w:val="00EA6E0E"/>
    <w:rsid w:val="00EA7A41"/>
    <w:rsid w:val="00EB077B"/>
    <w:rsid w:val="00EB3697"/>
    <w:rsid w:val="00EB45F9"/>
    <w:rsid w:val="00EB4EA2"/>
    <w:rsid w:val="00EB62EC"/>
    <w:rsid w:val="00EB6361"/>
    <w:rsid w:val="00EC27C6"/>
    <w:rsid w:val="00EC38A0"/>
    <w:rsid w:val="00EC4207"/>
    <w:rsid w:val="00EC4A0B"/>
    <w:rsid w:val="00EC4A1E"/>
    <w:rsid w:val="00EC4C96"/>
    <w:rsid w:val="00EC5653"/>
    <w:rsid w:val="00EC60B5"/>
    <w:rsid w:val="00EC66B4"/>
    <w:rsid w:val="00EC71CE"/>
    <w:rsid w:val="00EC7304"/>
    <w:rsid w:val="00EC7CBE"/>
    <w:rsid w:val="00ED1006"/>
    <w:rsid w:val="00ED129F"/>
    <w:rsid w:val="00ED5DF4"/>
    <w:rsid w:val="00ED6E06"/>
    <w:rsid w:val="00EE0956"/>
    <w:rsid w:val="00EE1975"/>
    <w:rsid w:val="00EE22C9"/>
    <w:rsid w:val="00EE25E7"/>
    <w:rsid w:val="00EE57B6"/>
    <w:rsid w:val="00EE6379"/>
    <w:rsid w:val="00EE6561"/>
    <w:rsid w:val="00EF0038"/>
    <w:rsid w:val="00EF10BC"/>
    <w:rsid w:val="00EF18FE"/>
    <w:rsid w:val="00EF2E6C"/>
    <w:rsid w:val="00EF2EE3"/>
    <w:rsid w:val="00EF40ED"/>
    <w:rsid w:val="00EF45A4"/>
    <w:rsid w:val="00EF5787"/>
    <w:rsid w:val="00EF60D0"/>
    <w:rsid w:val="00EF669D"/>
    <w:rsid w:val="00EF7136"/>
    <w:rsid w:val="00F0201B"/>
    <w:rsid w:val="00F020A9"/>
    <w:rsid w:val="00F03E8C"/>
    <w:rsid w:val="00F0528D"/>
    <w:rsid w:val="00F05792"/>
    <w:rsid w:val="00F06C67"/>
    <w:rsid w:val="00F06DFD"/>
    <w:rsid w:val="00F071D1"/>
    <w:rsid w:val="00F07533"/>
    <w:rsid w:val="00F100FF"/>
    <w:rsid w:val="00F10629"/>
    <w:rsid w:val="00F11A7A"/>
    <w:rsid w:val="00F12D76"/>
    <w:rsid w:val="00F15FA5"/>
    <w:rsid w:val="00F1625B"/>
    <w:rsid w:val="00F209B7"/>
    <w:rsid w:val="00F20C4B"/>
    <w:rsid w:val="00F21C47"/>
    <w:rsid w:val="00F2376F"/>
    <w:rsid w:val="00F243D8"/>
    <w:rsid w:val="00F24E55"/>
    <w:rsid w:val="00F30828"/>
    <w:rsid w:val="00F30E66"/>
    <w:rsid w:val="00F310A0"/>
    <w:rsid w:val="00F313D6"/>
    <w:rsid w:val="00F31E10"/>
    <w:rsid w:val="00F33DF2"/>
    <w:rsid w:val="00F34D6D"/>
    <w:rsid w:val="00F35233"/>
    <w:rsid w:val="00F40806"/>
    <w:rsid w:val="00F40C33"/>
    <w:rsid w:val="00F40F0C"/>
    <w:rsid w:val="00F42FD2"/>
    <w:rsid w:val="00F4350D"/>
    <w:rsid w:val="00F4352A"/>
    <w:rsid w:val="00F469E1"/>
    <w:rsid w:val="00F46FA4"/>
    <w:rsid w:val="00F4766C"/>
    <w:rsid w:val="00F47D9C"/>
    <w:rsid w:val="00F507D1"/>
    <w:rsid w:val="00F51128"/>
    <w:rsid w:val="00F519CE"/>
    <w:rsid w:val="00F51ADA"/>
    <w:rsid w:val="00F51CB3"/>
    <w:rsid w:val="00F539FE"/>
    <w:rsid w:val="00F54C67"/>
    <w:rsid w:val="00F54F7C"/>
    <w:rsid w:val="00F557B4"/>
    <w:rsid w:val="00F56734"/>
    <w:rsid w:val="00F56AB5"/>
    <w:rsid w:val="00F607C5"/>
    <w:rsid w:val="00F60931"/>
    <w:rsid w:val="00F60DEA"/>
    <w:rsid w:val="00F61B6A"/>
    <w:rsid w:val="00F61E9C"/>
    <w:rsid w:val="00F62119"/>
    <w:rsid w:val="00F6302A"/>
    <w:rsid w:val="00F64295"/>
    <w:rsid w:val="00F64C2B"/>
    <w:rsid w:val="00F64C55"/>
    <w:rsid w:val="00F651BE"/>
    <w:rsid w:val="00F65DAC"/>
    <w:rsid w:val="00F668D2"/>
    <w:rsid w:val="00F66DDF"/>
    <w:rsid w:val="00F67F53"/>
    <w:rsid w:val="00F703BE"/>
    <w:rsid w:val="00F71F69"/>
    <w:rsid w:val="00F72052"/>
    <w:rsid w:val="00F72A1E"/>
    <w:rsid w:val="00F72A83"/>
    <w:rsid w:val="00F72B72"/>
    <w:rsid w:val="00F73C22"/>
    <w:rsid w:val="00F73EDE"/>
    <w:rsid w:val="00F74BB9"/>
    <w:rsid w:val="00F75582"/>
    <w:rsid w:val="00F75A7F"/>
    <w:rsid w:val="00F76EFA"/>
    <w:rsid w:val="00F804BE"/>
    <w:rsid w:val="00F817CE"/>
    <w:rsid w:val="00F8436C"/>
    <w:rsid w:val="00F8456C"/>
    <w:rsid w:val="00F859D8"/>
    <w:rsid w:val="00F868F5"/>
    <w:rsid w:val="00F9056A"/>
    <w:rsid w:val="00F9083B"/>
    <w:rsid w:val="00F90F8D"/>
    <w:rsid w:val="00F92782"/>
    <w:rsid w:val="00F92798"/>
    <w:rsid w:val="00F93AA9"/>
    <w:rsid w:val="00F968DC"/>
    <w:rsid w:val="00F96985"/>
    <w:rsid w:val="00F96EAE"/>
    <w:rsid w:val="00F96EFF"/>
    <w:rsid w:val="00F97838"/>
    <w:rsid w:val="00F97BE1"/>
    <w:rsid w:val="00FA05D5"/>
    <w:rsid w:val="00FA0C03"/>
    <w:rsid w:val="00FA12B0"/>
    <w:rsid w:val="00FA1A08"/>
    <w:rsid w:val="00FA2BB3"/>
    <w:rsid w:val="00FA5D49"/>
    <w:rsid w:val="00FA7B90"/>
    <w:rsid w:val="00FB005F"/>
    <w:rsid w:val="00FB244D"/>
    <w:rsid w:val="00FB2583"/>
    <w:rsid w:val="00FB2629"/>
    <w:rsid w:val="00FB3D52"/>
    <w:rsid w:val="00FB4589"/>
    <w:rsid w:val="00FB46E6"/>
    <w:rsid w:val="00FB4C80"/>
    <w:rsid w:val="00FB6A6A"/>
    <w:rsid w:val="00FB6ACF"/>
    <w:rsid w:val="00FC0206"/>
    <w:rsid w:val="00FC076D"/>
    <w:rsid w:val="00FC4767"/>
    <w:rsid w:val="00FC4AD0"/>
    <w:rsid w:val="00FC5AA0"/>
    <w:rsid w:val="00FC7429"/>
    <w:rsid w:val="00FD07F6"/>
    <w:rsid w:val="00FD14F7"/>
    <w:rsid w:val="00FD1D12"/>
    <w:rsid w:val="00FD1EC8"/>
    <w:rsid w:val="00FD20E5"/>
    <w:rsid w:val="00FD21A9"/>
    <w:rsid w:val="00FD3FB3"/>
    <w:rsid w:val="00FD434C"/>
    <w:rsid w:val="00FD47ED"/>
    <w:rsid w:val="00FD4A9B"/>
    <w:rsid w:val="00FD74DB"/>
    <w:rsid w:val="00FD7660"/>
    <w:rsid w:val="00FD7F47"/>
    <w:rsid w:val="00FE0655"/>
    <w:rsid w:val="00FE1507"/>
    <w:rsid w:val="00FE20DB"/>
    <w:rsid w:val="00FE2365"/>
    <w:rsid w:val="00FE2722"/>
    <w:rsid w:val="00FE2927"/>
    <w:rsid w:val="00FE4C7B"/>
    <w:rsid w:val="00FE7336"/>
    <w:rsid w:val="00FE787C"/>
    <w:rsid w:val="00FF05B7"/>
    <w:rsid w:val="00FF1440"/>
    <w:rsid w:val="00FF1E31"/>
    <w:rsid w:val="00FF45A5"/>
    <w:rsid w:val="00FF4D74"/>
    <w:rsid w:val="00FF513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23016"/>
    <w:pPr>
      <w:widowControl w:val="0"/>
      <w:jc w:val="both"/>
    </w:pPr>
    <w:rPr>
      <w:rFonts w:asciiTheme="minorHAnsi" w:eastAsiaTheme="minorEastAsia" w:hAnsiTheme="minorHAnsi" w:cstheme="minorBidi"/>
      <w:kern w:val="2"/>
      <w:sz w:val="21"/>
      <w:szCs w:val="22"/>
      <w:lang w:eastAsia="ja-JP"/>
    </w:rPr>
  </w:style>
  <w:style w:type="paragraph" w:styleId="1">
    <w:name w:val="heading 1"/>
    <w:next w:val="a0"/>
    <w:link w:val="10"/>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uiPriority w:val="9"/>
    <w:qFormat/>
    <w:rsid w:val="00317B01"/>
    <w:pPr>
      <w:numPr>
        <w:ilvl w:val="1"/>
      </w:numPr>
      <w:pBdr>
        <w:top w:val="none" w:sz="0" w:space="0" w:color="auto"/>
      </w:pBdr>
      <w:spacing w:before="180"/>
      <w:outlineLvl w:val="1"/>
    </w:pPr>
    <w:rPr>
      <w:sz w:val="32"/>
      <w:szCs w:val="32"/>
    </w:rPr>
  </w:style>
  <w:style w:type="paragraph" w:styleId="3">
    <w:name w:val="heading 3"/>
    <w:basedOn w:val="2"/>
    <w:next w:val="a0"/>
    <w:uiPriority w:val="9"/>
    <w:qFormat/>
    <w:rsid w:val="00317B01"/>
    <w:pPr>
      <w:numPr>
        <w:ilvl w:val="2"/>
      </w:numPr>
      <w:spacing w:before="120"/>
      <w:outlineLvl w:val="2"/>
    </w:pPr>
    <w:rPr>
      <w:sz w:val="28"/>
      <w:szCs w:val="28"/>
    </w:rPr>
  </w:style>
  <w:style w:type="paragraph" w:styleId="4">
    <w:name w:val="heading 4"/>
    <w:basedOn w:val="3"/>
    <w:next w:val="a0"/>
    <w:uiPriority w:val="9"/>
    <w:qFormat/>
    <w:rsid w:val="00317B01"/>
    <w:pPr>
      <w:numPr>
        <w:ilvl w:val="3"/>
      </w:numPr>
      <w:outlineLvl w:val="3"/>
    </w:pPr>
    <w:rPr>
      <w:sz w:val="24"/>
      <w:szCs w:val="24"/>
    </w:rPr>
  </w:style>
  <w:style w:type="paragraph" w:styleId="5">
    <w:name w:val="heading 5"/>
    <w:basedOn w:val="4"/>
    <w:next w:val="a0"/>
    <w:uiPriority w:val="9"/>
    <w:qFormat/>
    <w:rsid w:val="00317B01"/>
    <w:pPr>
      <w:numPr>
        <w:ilvl w:val="4"/>
      </w:numPr>
      <w:outlineLvl w:val="4"/>
    </w:pPr>
    <w:rPr>
      <w:sz w:val="22"/>
      <w:szCs w:val="22"/>
    </w:rPr>
  </w:style>
  <w:style w:type="paragraph" w:styleId="6">
    <w:name w:val="heading 6"/>
    <w:basedOn w:val="a0"/>
    <w:next w:val="a0"/>
    <w:uiPriority w:val="9"/>
    <w:qFormat/>
    <w:rsid w:val="00317B01"/>
    <w:pPr>
      <w:keepNext/>
      <w:keepLines/>
      <w:numPr>
        <w:ilvl w:val="5"/>
        <w:numId w:val="1"/>
      </w:numPr>
      <w:spacing w:before="120"/>
      <w:outlineLvl w:val="5"/>
    </w:pPr>
    <w:rPr>
      <w:rFonts w:cs="Arial"/>
    </w:rPr>
  </w:style>
  <w:style w:type="paragraph" w:styleId="7">
    <w:name w:val="heading 7"/>
    <w:basedOn w:val="a0"/>
    <w:next w:val="a0"/>
    <w:uiPriority w:val="9"/>
    <w:qFormat/>
    <w:rsid w:val="00317B01"/>
    <w:pPr>
      <w:keepNext/>
      <w:keepLines/>
      <w:numPr>
        <w:ilvl w:val="6"/>
        <w:numId w:val="1"/>
      </w:numPr>
      <w:spacing w:before="120"/>
      <w:outlineLvl w:val="6"/>
    </w:pPr>
    <w:rPr>
      <w:rFonts w:cs="Arial"/>
    </w:rPr>
  </w:style>
  <w:style w:type="paragraph" w:styleId="8">
    <w:name w:val="heading 8"/>
    <w:basedOn w:val="7"/>
    <w:next w:val="a0"/>
    <w:uiPriority w:val="9"/>
    <w:qFormat/>
    <w:rsid w:val="00317B01"/>
    <w:pPr>
      <w:numPr>
        <w:ilvl w:val="7"/>
      </w:numPr>
      <w:outlineLvl w:val="7"/>
    </w:pPr>
  </w:style>
  <w:style w:type="paragraph" w:styleId="9">
    <w:name w:val="heading 9"/>
    <w:basedOn w:val="8"/>
    <w:next w:val="a0"/>
    <w:uiPriority w:val="9"/>
    <w:qFormat/>
    <w:rsid w:val="00317B01"/>
    <w:pPr>
      <w:numPr>
        <w:ilvl w:val="8"/>
      </w:numPr>
      <w:outlineLvl w:val="8"/>
    </w:pPr>
  </w:style>
  <w:style w:type="character" w:default="1" w:styleId="a1">
    <w:name w:val="Default Paragraph Font"/>
    <w:uiPriority w:val="1"/>
    <w:semiHidden/>
    <w:unhideWhenUsed/>
    <w:rsid w:val="00823016"/>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823016"/>
  </w:style>
  <w:style w:type="paragraph" w:styleId="80">
    <w:name w:val="toc 8"/>
    <w:basedOn w:val="11"/>
    <w:semiHidden/>
    <w:rsid w:val="00317B01"/>
    <w:pPr>
      <w:spacing w:before="180"/>
      <w:ind w:left="2693" w:hanging="2693"/>
    </w:pPr>
    <w:rPr>
      <w:b w:val="0"/>
      <w:bCs/>
    </w:rPr>
  </w:style>
  <w:style w:type="paragraph" w:styleId="1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uiPriority w:val="35"/>
    <w:qFormat/>
    <w:rsid w:val="00317B01"/>
    <w:pPr>
      <w:spacing w:after="240"/>
      <w:jc w:val="center"/>
    </w:pPr>
    <w:rPr>
      <w:b/>
      <w:bCs/>
    </w:rPr>
  </w:style>
  <w:style w:type="paragraph" w:styleId="51">
    <w:name w:val="toc 5"/>
    <w:aliases w:val="Observation TOC"/>
    <w:basedOn w:val="41"/>
    <w:semiHidden/>
    <w:rsid w:val="00317B01"/>
    <w:pPr>
      <w:tabs>
        <w:tab w:val="right" w:pos="1701"/>
      </w:tabs>
      <w:ind w:left="1701" w:hanging="1701"/>
    </w:pPr>
  </w:style>
  <w:style w:type="paragraph" w:styleId="41">
    <w:name w:val="toc 4"/>
    <w:basedOn w:val="31"/>
    <w:semiHidden/>
    <w:rsid w:val="00317B01"/>
    <w:pPr>
      <w:ind w:left="1418" w:hanging="1418"/>
    </w:pPr>
  </w:style>
  <w:style w:type="paragraph" w:styleId="31">
    <w:name w:val="toc 3"/>
    <w:basedOn w:val="21"/>
    <w:semiHidden/>
    <w:rsid w:val="00317B01"/>
    <w:pPr>
      <w:ind w:left="1134" w:hanging="1134"/>
    </w:pPr>
  </w:style>
  <w:style w:type="paragraph" w:styleId="21">
    <w:name w:val="toc 2"/>
    <w:basedOn w:val="11"/>
    <w:semiHidden/>
    <w:rsid w:val="00317B01"/>
    <w:pPr>
      <w:keepNext w:val="0"/>
      <w:spacing w:before="0"/>
      <w:ind w:left="851" w:hanging="851"/>
    </w:pPr>
    <w:rPr>
      <w:szCs w:val="20"/>
    </w:rPr>
  </w:style>
  <w:style w:type="paragraph" w:styleId="22">
    <w:name w:val="index 2"/>
    <w:basedOn w:val="12"/>
    <w:semiHidden/>
    <w:rsid w:val="00317B01"/>
    <w:pPr>
      <w:ind w:left="284"/>
    </w:pPr>
  </w:style>
  <w:style w:type="paragraph" w:styleId="12">
    <w:name w:val="index 1"/>
    <w:basedOn w:val="a0"/>
    <w:semiHidden/>
    <w:rsid w:val="00317B01"/>
    <w:pPr>
      <w:keepLines/>
    </w:pPr>
  </w:style>
  <w:style w:type="paragraph" w:styleId="a5">
    <w:name w:val="Document Map"/>
    <w:basedOn w:val="a0"/>
    <w:semiHidden/>
    <w:rsid w:val="00317B01"/>
    <w:pPr>
      <w:shd w:val="clear" w:color="auto" w:fill="000080"/>
    </w:pPr>
    <w:rPr>
      <w:rFonts w:ascii="Tahoma" w:hAnsi="Tahoma" w:cs="Tahoma"/>
    </w:rPr>
  </w:style>
  <w:style w:type="paragraph" w:styleId="23">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317B01"/>
    <w:rPr>
      <w:b/>
      <w:bCs/>
      <w:position w:val="6"/>
      <w:sz w:val="16"/>
      <w:szCs w:val="16"/>
    </w:rPr>
  </w:style>
  <w:style w:type="paragraph" w:styleId="aa">
    <w:name w:val="footnote text"/>
    <w:basedOn w:val="a0"/>
    <w:semiHidden/>
    <w:rsid w:val="00317B01"/>
    <w:pPr>
      <w:keepLines/>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90">
    <w:name w:val="toc 9"/>
    <w:basedOn w:val="80"/>
    <w:semiHidden/>
    <w:rsid w:val="00317B01"/>
    <w:pPr>
      <w:ind w:left="1418" w:hanging="1418"/>
    </w:pPr>
  </w:style>
  <w:style w:type="paragraph" w:styleId="60">
    <w:name w:val="toc 6"/>
    <w:basedOn w:val="51"/>
    <w:next w:val="a0"/>
    <w:semiHidden/>
    <w:rsid w:val="00317B01"/>
    <w:pPr>
      <w:ind w:left="1985" w:hanging="1985"/>
    </w:pPr>
  </w:style>
  <w:style w:type="paragraph" w:styleId="70">
    <w:name w:val="toc 7"/>
    <w:basedOn w:val="60"/>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b"/>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pPr>
    <w:rPr>
      <w:noProof/>
    </w:rPr>
  </w:style>
  <w:style w:type="paragraph" w:styleId="24">
    <w:name w:val="List 2"/>
    <w:basedOn w:val="a7"/>
    <w:rsid w:val="00317B01"/>
    <w:pPr>
      <w:ind w:left="851"/>
    </w:pPr>
  </w:style>
  <w:style w:type="paragraph" w:styleId="32">
    <w:name w:val="List 3"/>
    <w:basedOn w:val="24"/>
    <w:rsid w:val="00317B01"/>
    <w:pPr>
      <w:ind w:left="1135"/>
    </w:pPr>
  </w:style>
  <w:style w:type="paragraph" w:styleId="42">
    <w:name w:val="List 4"/>
    <w:basedOn w:val="32"/>
    <w:rsid w:val="00317B01"/>
    <w:pPr>
      <w:ind w:left="1418"/>
    </w:pPr>
  </w:style>
  <w:style w:type="paragraph" w:styleId="52">
    <w:name w:val="List 5"/>
    <w:basedOn w:val="42"/>
    <w:rsid w:val="00317B01"/>
    <w:pPr>
      <w:ind w:left="1702"/>
    </w:pPr>
  </w:style>
  <w:style w:type="paragraph" w:customStyle="1" w:styleId="EditorsNote">
    <w:name w:val="Editor's Note"/>
    <w:basedOn w:val="a0"/>
    <w:rsid w:val="00317B01"/>
    <w:pPr>
      <w:keepLines/>
      <w:spacing w:after="180"/>
      <w:ind w:left="1135" w:hanging="851"/>
    </w:pPr>
    <w:rPr>
      <w:color w:val="FF0000"/>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c">
    <w:name w:val="footer"/>
    <w:basedOn w:val="a8"/>
    <w:semiHidden/>
    <w:rsid w:val="00317B01"/>
    <w:pPr>
      <w:jc w:val="center"/>
    </w:pPr>
    <w:rPr>
      <w:i/>
      <w:iCs/>
    </w:rPr>
  </w:style>
  <w:style w:type="paragraph" w:customStyle="1" w:styleId="Reference">
    <w:name w:val="Reference"/>
    <w:basedOn w:val="a0"/>
    <w:link w:val="ReferenceChar"/>
    <w:qFormat/>
    <w:rsid w:val="00317B01"/>
    <w:pPr>
      <w:numPr>
        <w:numId w:val="2"/>
      </w:numPr>
    </w:pPr>
  </w:style>
  <w:style w:type="paragraph" w:styleId="ad">
    <w:name w:val="Balloon Text"/>
    <w:basedOn w:val="a0"/>
    <w:semiHidden/>
    <w:rsid w:val="00317B01"/>
    <w:rPr>
      <w:rFonts w:ascii="Tahoma" w:hAnsi="Tahoma" w:cs="Tahoma"/>
      <w:sz w:val="16"/>
      <w:szCs w:val="16"/>
    </w:rPr>
  </w:style>
  <w:style w:type="character" w:styleId="ae">
    <w:name w:val="page number"/>
    <w:semiHidden/>
    <w:rsid w:val="00317B01"/>
  </w:style>
  <w:style w:type="paragraph" w:styleId="ab">
    <w:name w:val="Body Text"/>
    <w:basedOn w:val="a0"/>
    <w:link w:val="af"/>
    <w:rsid w:val="00317B01"/>
  </w:style>
  <w:style w:type="character" w:styleId="af0">
    <w:name w:val="Hyperlink"/>
    <w:uiPriority w:val="99"/>
    <w:rsid w:val="00317B01"/>
    <w:rPr>
      <w:color w:val="0000FF"/>
      <w:u w:val="single"/>
      <w:lang w:val="en-GB"/>
    </w:rPr>
  </w:style>
  <w:style w:type="character" w:styleId="af1">
    <w:name w:val="FollowedHyperlink"/>
    <w:semiHidden/>
    <w:rsid w:val="00317B01"/>
    <w:rPr>
      <w:color w:val="FF0000"/>
      <w:u w:val="single"/>
    </w:rPr>
  </w:style>
  <w:style w:type="character" w:styleId="af2">
    <w:name w:val="annotation reference"/>
    <w:semiHidden/>
    <w:rsid w:val="00317B01"/>
    <w:rPr>
      <w:sz w:val="16"/>
      <w:szCs w:val="16"/>
    </w:rPr>
  </w:style>
  <w:style w:type="paragraph" w:styleId="af3">
    <w:name w:val="annotation text"/>
    <w:basedOn w:val="a0"/>
    <w:semiHidden/>
    <w:rsid w:val="00317B01"/>
  </w:style>
  <w:style w:type="paragraph" w:styleId="af4">
    <w:name w:val="annotation subject"/>
    <w:basedOn w:val="af3"/>
    <w:next w:val="af3"/>
    <w:semiHidden/>
    <w:rsid w:val="00317B01"/>
    <w:rPr>
      <w:b/>
      <w:bCs/>
    </w:rPr>
  </w:style>
  <w:style w:type="character" w:customStyle="1" w:styleId="10">
    <w:name w:val="見出し 1 (文字)"/>
    <w:link w:val="1"/>
    <w:uiPriority w:val="9"/>
    <w:rsid w:val="00317B01"/>
    <w:rPr>
      <w:rFonts w:ascii="Arial" w:hAnsi="Arial" w:cs="Arial"/>
      <w:sz w:val="36"/>
      <w:szCs w:val="36"/>
      <w:lang w:val="en-GB"/>
    </w:rPr>
  </w:style>
  <w:style w:type="paragraph" w:customStyle="1" w:styleId="B1">
    <w:name w:val="B1"/>
    <w:basedOn w:val="a7"/>
    <w:link w:val="B1Zchn"/>
    <w:qFormat/>
    <w:rsid w:val="00317B01"/>
    <w:pPr>
      <w:spacing w:after="180"/>
    </w:pPr>
  </w:style>
  <w:style w:type="paragraph" w:customStyle="1" w:styleId="B2">
    <w:name w:val="B2"/>
    <w:basedOn w:val="24"/>
    <w:rsid w:val="00317B01"/>
    <w:pPr>
      <w:spacing w:after="180"/>
    </w:pPr>
  </w:style>
  <w:style w:type="paragraph" w:customStyle="1" w:styleId="B3">
    <w:name w:val="B3"/>
    <w:basedOn w:val="32"/>
    <w:rsid w:val="00317B01"/>
    <w:pPr>
      <w:spacing w:after="180"/>
    </w:pPr>
  </w:style>
  <w:style w:type="paragraph" w:customStyle="1" w:styleId="B4">
    <w:name w:val="B4"/>
    <w:basedOn w:val="42"/>
    <w:rsid w:val="00317B01"/>
    <w:pPr>
      <w:spacing w:after="180"/>
    </w:pPr>
  </w:style>
  <w:style w:type="paragraph" w:customStyle="1" w:styleId="Proposal">
    <w:name w:val="Proposal"/>
    <w:basedOn w:val="a0"/>
    <w:rsid w:val="00317B01"/>
    <w:pPr>
      <w:numPr>
        <w:numId w:val="3"/>
      </w:numPr>
      <w:tabs>
        <w:tab w:val="left" w:pos="1701"/>
      </w:tabs>
    </w:pPr>
    <w:rPr>
      <w:b/>
      <w:bCs/>
    </w:rPr>
  </w:style>
  <w:style w:type="character" w:customStyle="1" w:styleId="af">
    <w:name w:val="本文 (文字)"/>
    <w:link w:val="ab"/>
    <w:rsid w:val="00317B01"/>
    <w:rPr>
      <w:rFonts w:ascii="Arial" w:hAnsi="Arial"/>
      <w:lang w:val="en-GB"/>
    </w:rPr>
  </w:style>
  <w:style w:type="paragraph" w:customStyle="1" w:styleId="B5">
    <w:name w:val="B5"/>
    <w:basedOn w:val="52"/>
    <w:rsid w:val="00317B01"/>
    <w:pPr>
      <w:spacing w:after="180"/>
    </w:pPr>
  </w:style>
  <w:style w:type="paragraph" w:customStyle="1" w:styleId="EX">
    <w:name w:val="EX"/>
    <w:basedOn w:val="a0"/>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a0"/>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style>
  <w:style w:type="paragraph" w:customStyle="1" w:styleId="Observation">
    <w:name w:val="Observation"/>
    <w:basedOn w:val="Proposal"/>
    <w:qFormat/>
    <w:rsid w:val="00317B01"/>
    <w:pPr>
      <w:numPr>
        <w:numId w:val="9"/>
      </w:numPr>
      <w:ind w:left="1701" w:hanging="1701"/>
    </w:pPr>
  </w:style>
  <w:style w:type="paragraph" w:styleId="af5">
    <w:name w:val="table of figures"/>
    <w:basedOn w:val="a0"/>
    <w:next w:val="a0"/>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af6">
    <w:name w:val="Table Grid"/>
    <w:basedOn w:val="a2"/>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
    <w:basedOn w:val="a0"/>
    <w:link w:val="af8"/>
    <w:uiPriority w:val="34"/>
    <w:qFormat/>
    <w:rsid w:val="00D8203B"/>
    <w:pPr>
      <w:ind w:left="720"/>
      <w:contextualSpacing/>
    </w:pPr>
    <w:rPr>
      <w:rFonts w:eastAsia="DengXian"/>
    </w:rPr>
  </w:style>
  <w:style w:type="paragraph" w:customStyle="1" w:styleId="Doc-text2">
    <w:name w:val="Doc-text2"/>
    <w:basedOn w:val="a0"/>
    <w:link w:val="Doc-text2Char"/>
    <w:qFormat/>
    <w:rsid w:val="00D8203B"/>
    <w:pPr>
      <w:tabs>
        <w:tab w:val="left" w:pos="1622"/>
      </w:tabs>
      <w:ind w:left="1622" w:hanging="363"/>
    </w:pPr>
    <w:rPr>
      <w:rFonts w:eastAsia="ＭＳ 明朝"/>
      <w:szCs w:val="24"/>
      <w:lang w:eastAsia="en-GB"/>
    </w:rPr>
  </w:style>
  <w:style w:type="character" w:customStyle="1" w:styleId="Doc-text2Char">
    <w:name w:val="Doc-text2 Char"/>
    <w:link w:val="Doc-text2"/>
    <w:locked/>
    <w:rsid w:val="00D8203B"/>
    <w:rPr>
      <w:rFonts w:ascii="Arial" w:eastAsia="ＭＳ 明朝" w:hAnsi="Arial"/>
      <w:szCs w:val="24"/>
      <w:lang w:val="en-GB" w:eastAsia="en-GB"/>
    </w:rPr>
  </w:style>
  <w:style w:type="paragraph" w:styleId="af9">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Web">
    <w:name w:val="Normal (Web)"/>
    <w:basedOn w:val="a0"/>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af8">
    <w:name w:val="リスト段落 (文字)"/>
    <w:aliases w:val="- Bullets (文字)"/>
    <w:link w:val="af7"/>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a0"/>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afa">
    <w:name w:val="Emphasis"/>
    <w:basedOn w:val="a1"/>
    <w:uiPriority w:val="20"/>
    <w:qFormat/>
    <w:rsid w:val="007D65C4"/>
    <w:rPr>
      <w:i/>
      <w:iCs/>
    </w:rPr>
  </w:style>
  <w:style w:type="paragraph" w:customStyle="1" w:styleId="text">
    <w:name w:val="text"/>
    <w:basedOn w:val="a0"/>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en-GB"/>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en-GB" w:eastAsia="en-US"/>
    </w:rPr>
  </w:style>
  <w:style w:type="character" w:customStyle="1" w:styleId="B1Char">
    <w:name w:val="B1 Char"/>
    <w:rsid w:val="00E03DCD"/>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8A47E398-CD76-4C77-BC9A-BBE7358B5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1965</Words>
  <Characters>11202</Characters>
  <Application>Microsoft Office Word</Application>
  <DocSecurity>0</DocSecurity>
  <Lines>93</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Panasonic Corporation</Company>
  <LinksUpToDate>false</LinksUpToDate>
  <CharactersWithSpaces>13141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TDoc; 3GPP; RAN1</cp:keywords>
  <dc:description/>
  <cp:lastModifiedBy>Maki Shotaro (眞木 翔太郎)</cp:lastModifiedBy>
  <cp:revision>5</cp:revision>
  <cp:lastPrinted>2008-01-31T06:09:00Z</cp:lastPrinted>
  <dcterms:created xsi:type="dcterms:W3CDTF">2019-08-14T02:41:00Z</dcterms:created>
  <dcterms:modified xsi:type="dcterms:W3CDTF">2019-08-15T08:01:00Z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